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Phitekst"/>
        <w:jc w:val="both"/>
        <w:rPr>
          <w:rFonts w:ascii="Times New Roman" w:hAnsi="Times New Roman"/>
          <w:sz w:val="24"/>
          <w:szCs w:val="24"/>
        </w:rPr>
      </w:pPr>
      <w:r>
        <w:rPr>
          <w:sz w:val="24"/>
          <w:szCs w:val="24"/>
        </w:rPr>
        <w:t>KUTSE VÄIKEHANKEL OSALEMISEKS</w:t>
      </w:r>
    </w:p>
    <w:p>
      <w:pPr>
        <w:pStyle w:val="Normal"/>
        <w:widowControl w:val="false"/>
        <w:spacing w:before="0" w:after="170"/>
        <w:jc w:val="both"/>
        <w:rPr>
          <w:rFonts w:ascii="Times New Roman" w:hAnsi="Times New Roman" w:eastAsia="Lucida Sans Unicode" w:cs="Times New Roman"/>
          <w:sz w:val="24"/>
          <w:szCs w:val="24"/>
        </w:rPr>
      </w:pPr>
      <w:r>
        <w:rPr>
          <w:rFonts w:eastAsia="Lucida Sans Unicode" w:cs="Times New Roman" w:ascii="Times New Roman" w:hAnsi="Times New Roman"/>
          <w:sz w:val="24"/>
          <w:szCs w:val="24"/>
        </w:rPr>
      </w:r>
    </w:p>
    <w:p>
      <w:pPr>
        <w:pStyle w:val="Normal"/>
        <w:widowControl w:val="false"/>
        <w:numPr>
          <w:ilvl w:val="0"/>
          <w:numId w:val="2"/>
        </w:numPr>
        <w:spacing w:before="0" w:after="170"/>
        <w:ind w:left="737" w:right="0" w:hanging="737"/>
        <w:jc w:val="both"/>
        <w:rPr>
          <w:rFonts w:ascii="Times New Roman" w:hAnsi="Times New Roman"/>
          <w:sz w:val="24"/>
          <w:szCs w:val="24"/>
        </w:rPr>
      </w:pPr>
      <w:r>
        <w:rPr>
          <w:rFonts w:eastAsia="Lucida Sans Unicode" w:cs="Times New Roman" w:ascii="Times New Roman" w:hAnsi="Times New Roman"/>
          <w:b/>
          <w:bCs/>
          <w:color w:val="3465A4"/>
          <w:sz w:val="24"/>
          <w:szCs w:val="24"/>
        </w:rPr>
        <w:t>ALUSANDMED</w:t>
      </w:r>
    </w:p>
    <w:tbl>
      <w:tblPr>
        <w:tblW w:w="9030" w:type="dxa"/>
        <w:jc w:val="left"/>
        <w:tblInd w:w="140" w:type="dxa"/>
        <w:tblLayout w:type="fixed"/>
        <w:tblCellMar>
          <w:top w:w="55" w:type="dxa"/>
          <w:left w:w="48" w:type="dxa"/>
          <w:bottom w:w="55" w:type="dxa"/>
          <w:right w:w="55" w:type="dxa"/>
        </w:tblCellMar>
      </w:tblPr>
      <w:tblGrid>
        <w:gridCol w:w="3975"/>
        <w:gridCol w:w="5054"/>
      </w:tblGrid>
      <w:tr>
        <w:trPr/>
        <w:tc>
          <w:tcPr>
            <w:tcW w:w="3975" w:type="dxa"/>
            <w:tcBorders>
              <w:top w:val="single" w:sz="2" w:space="0" w:color="000001"/>
              <w:left w:val="single" w:sz="2" w:space="0" w:color="000001"/>
              <w:bottom w:val="single" w:sz="2" w:space="0" w:color="000001"/>
            </w:tcBorders>
            <w:shd w:fill="B4C7DC" w:val="clear"/>
          </w:tcPr>
          <w:p>
            <w:pPr>
              <w:pStyle w:val="Normal"/>
              <w:widowControl w:val="false"/>
              <w:spacing w:before="0" w:after="170"/>
              <w:jc w:val="both"/>
              <w:rPr>
                <w:rFonts w:ascii="Times New Roman" w:hAnsi="Times New Roman"/>
                <w:sz w:val="24"/>
                <w:szCs w:val="24"/>
              </w:rPr>
            </w:pPr>
            <w:r>
              <w:rPr>
                <w:rFonts w:eastAsia="Lucida Sans Unicode" w:cs="Times New Roman" w:ascii="Times New Roman" w:hAnsi="Times New Roman"/>
                <w:sz w:val="24"/>
                <w:szCs w:val="24"/>
              </w:rPr>
              <w:t>HANKIJA (OSTJA, TELLIJA)</w:t>
            </w:r>
          </w:p>
        </w:tc>
        <w:tc>
          <w:tcPr>
            <w:tcW w:w="5054" w:type="dxa"/>
            <w:tcBorders>
              <w:top w:val="single" w:sz="2" w:space="0" w:color="000001"/>
              <w:left w:val="single" w:sz="2" w:space="0" w:color="000001"/>
              <w:bottom w:val="single" w:sz="2" w:space="0" w:color="000001"/>
              <w:right w:val="single" w:sz="2" w:space="0" w:color="000001"/>
            </w:tcBorders>
          </w:tcPr>
          <w:p>
            <w:pPr>
              <w:pStyle w:val="Normal"/>
              <w:widowControl w:val="false"/>
              <w:spacing w:before="0" w:after="170"/>
              <w:jc w:val="left"/>
              <w:rPr>
                <w:rFonts w:ascii="Times New Roman" w:hAnsi="Times New Roman"/>
                <w:sz w:val="24"/>
                <w:szCs w:val="24"/>
              </w:rPr>
            </w:pPr>
            <w:r>
              <w:rPr>
                <w:rFonts w:eastAsia="Lucida Sans Unicode" w:cs="Times New Roman" w:ascii="Times New Roman" w:hAnsi="Times New Roman"/>
                <w:sz w:val="24"/>
                <w:szCs w:val="24"/>
              </w:rPr>
              <w:t>Lääne-Nigula Vallavalitsus</w:t>
            </w:r>
          </w:p>
        </w:tc>
      </w:tr>
      <w:tr>
        <w:trPr/>
        <w:tc>
          <w:tcPr>
            <w:tcW w:w="3975" w:type="dxa"/>
            <w:tcBorders>
              <w:left w:val="single" w:sz="2" w:space="0" w:color="000001"/>
              <w:bottom w:val="single" w:sz="2" w:space="0" w:color="000001"/>
            </w:tcBorders>
            <w:shd w:fill="B4C7DC" w:val="clear"/>
          </w:tcPr>
          <w:p>
            <w:pPr>
              <w:pStyle w:val="Normal"/>
              <w:widowControl w:val="false"/>
              <w:spacing w:before="0" w:after="170"/>
              <w:jc w:val="both"/>
              <w:rPr>
                <w:rFonts w:ascii="Times New Roman" w:hAnsi="Times New Roman"/>
                <w:sz w:val="24"/>
                <w:szCs w:val="24"/>
              </w:rPr>
            </w:pPr>
            <w:r>
              <w:rPr>
                <w:rFonts w:eastAsia="Lucida Sans Unicode" w:cs="Times New Roman" w:ascii="Times New Roman" w:hAnsi="Times New Roman"/>
                <w:sz w:val="24"/>
                <w:szCs w:val="24"/>
              </w:rPr>
              <w:t>MENETLUSE KORRALDAJA</w:t>
            </w:r>
          </w:p>
        </w:tc>
        <w:tc>
          <w:tcPr>
            <w:tcW w:w="5054" w:type="dxa"/>
            <w:tcBorders>
              <w:left w:val="single" w:sz="2" w:space="0" w:color="000001"/>
              <w:bottom w:val="single" w:sz="2" w:space="0" w:color="000001"/>
              <w:right w:val="single" w:sz="2" w:space="0" w:color="000001"/>
            </w:tcBorders>
          </w:tcPr>
          <w:p>
            <w:pPr>
              <w:pStyle w:val="Normal"/>
              <w:widowControl w:val="false"/>
              <w:spacing w:before="0" w:after="170"/>
              <w:jc w:val="left"/>
              <w:rPr>
                <w:rFonts w:ascii="Times New Roman" w:hAnsi="Times New Roman"/>
                <w:sz w:val="24"/>
                <w:szCs w:val="24"/>
              </w:rPr>
            </w:pPr>
            <w:r>
              <w:rPr>
                <w:rFonts w:eastAsia="Lucida Sans Unicode" w:cs="Times New Roman" w:ascii="Times New Roman" w:hAnsi="Times New Roman"/>
                <w:sz w:val="24"/>
                <w:szCs w:val="24"/>
              </w:rPr>
              <w:t>Risti Osavallavalitsus</w:t>
            </w:r>
          </w:p>
        </w:tc>
      </w:tr>
      <w:tr>
        <w:trPr/>
        <w:tc>
          <w:tcPr>
            <w:tcW w:w="3975" w:type="dxa"/>
            <w:tcBorders>
              <w:top w:val="single" w:sz="2" w:space="0" w:color="000001"/>
              <w:left w:val="single" w:sz="2" w:space="0" w:color="000001"/>
              <w:bottom w:val="single" w:sz="2" w:space="0" w:color="000001"/>
            </w:tcBorders>
            <w:shd w:fill="B4C7DC" w:val="clear"/>
          </w:tcPr>
          <w:p>
            <w:pPr>
              <w:pStyle w:val="Default"/>
              <w:widowControl w:val="false"/>
              <w:spacing w:before="0" w:after="170"/>
              <w:jc w:val="both"/>
              <w:rPr>
                <w:rFonts w:ascii="Times New Roman" w:hAnsi="Times New Roman"/>
                <w:sz w:val="24"/>
                <w:szCs w:val="24"/>
              </w:rPr>
            </w:pPr>
            <w:r>
              <w:rPr>
                <w:rFonts w:cs="Times New Roman" w:ascii="Times New Roman" w:hAnsi="Times New Roman"/>
                <w:color w:val="00000A"/>
                <w:sz w:val="24"/>
                <w:szCs w:val="24"/>
              </w:rPr>
              <w:t>VÄIKEHANKE NIMETUS</w:t>
            </w:r>
          </w:p>
        </w:tc>
        <w:tc>
          <w:tcPr>
            <w:tcW w:w="5054" w:type="dxa"/>
            <w:tcBorders>
              <w:top w:val="single" w:sz="2" w:space="0" w:color="000001"/>
              <w:left w:val="single" w:sz="2" w:space="0" w:color="000001"/>
              <w:bottom w:val="single" w:sz="2" w:space="0" w:color="000001"/>
              <w:right w:val="single" w:sz="2" w:space="0" w:color="000001"/>
            </w:tcBorders>
          </w:tcPr>
          <w:p>
            <w:pPr>
              <w:pStyle w:val="Pealkiri1"/>
              <w:widowControl w:val="false"/>
              <w:spacing w:before="0" w:after="120"/>
              <w:ind w:left="0" w:hanging="0"/>
              <w:jc w:val="left"/>
              <w:rPr>
                <w:rFonts w:ascii="Times New Roman" w:hAnsi="Times New Roman"/>
                <w:sz w:val="24"/>
                <w:szCs w:val="24"/>
              </w:rPr>
            </w:pPr>
            <w:r>
              <w:rPr>
                <w:rFonts w:eastAsia="Lucida Sans Unicode" w:cs="Times New Roman" w:ascii="Times New Roman" w:hAnsi="Times New Roman"/>
                <w:b/>
                <w:bCs/>
                <w:color w:val="00000A"/>
                <w:kern w:val="0"/>
                <w:sz w:val="24"/>
                <w:szCs w:val="24"/>
                <w:lang w:val="et-EE" w:eastAsia="en-US" w:bidi="ar-SA"/>
              </w:rPr>
              <w:t>Risti põhikooli II korruse klassi- ja bürooruumide remonditööd</w:t>
            </w:r>
          </w:p>
        </w:tc>
      </w:tr>
      <w:tr>
        <w:trPr/>
        <w:tc>
          <w:tcPr>
            <w:tcW w:w="3975" w:type="dxa"/>
            <w:tcBorders>
              <w:top w:val="single" w:sz="2" w:space="0" w:color="000001"/>
              <w:left w:val="single" w:sz="2" w:space="0" w:color="000001"/>
              <w:bottom w:val="single" w:sz="2" w:space="0" w:color="000001"/>
            </w:tcBorders>
            <w:shd w:fill="B4C7DC" w:val="clear"/>
          </w:tcPr>
          <w:p>
            <w:pPr>
              <w:pStyle w:val="Default"/>
              <w:widowControl w:val="false"/>
              <w:spacing w:before="0" w:after="170"/>
              <w:jc w:val="both"/>
              <w:rPr>
                <w:rFonts w:ascii="Times New Roman" w:hAnsi="Times New Roman"/>
                <w:sz w:val="24"/>
                <w:szCs w:val="24"/>
              </w:rPr>
            </w:pPr>
            <w:r>
              <w:rPr>
                <w:rFonts w:ascii="Times New Roman" w:hAnsi="Times New Roman"/>
                <w:color w:val="00000A"/>
                <w:sz w:val="24"/>
                <w:szCs w:val="24"/>
              </w:rPr>
              <w:t>MENETLUSE LIIK</w:t>
            </w:r>
          </w:p>
        </w:tc>
        <w:tc>
          <w:tcPr>
            <w:tcW w:w="5054" w:type="dxa"/>
            <w:tcBorders>
              <w:top w:val="single" w:sz="2" w:space="0" w:color="000001"/>
              <w:left w:val="single" w:sz="2" w:space="0" w:color="000001"/>
              <w:bottom w:val="single" w:sz="2" w:space="0" w:color="000001"/>
              <w:right w:val="single" w:sz="2" w:space="0" w:color="000001"/>
            </w:tcBorders>
          </w:tcPr>
          <w:p>
            <w:pPr>
              <w:pStyle w:val="Phitekst"/>
              <w:widowControl w:val="false"/>
              <w:suppressAutoHyphens w:val="true"/>
              <w:spacing w:lineRule="auto" w:line="240" w:before="0" w:after="120"/>
              <w:jc w:val="left"/>
              <w:rPr>
                <w:rFonts w:ascii="Times New Roman" w:hAnsi="Times New Roman"/>
                <w:sz w:val="24"/>
                <w:szCs w:val="24"/>
              </w:rPr>
            </w:pPr>
            <w:r>
              <w:rPr>
                <w:rFonts w:eastAsia="Lucida Sans Unicode" w:cs="Times New Roman"/>
                <w:color w:val="00000A"/>
                <w:kern w:val="0"/>
                <w:sz w:val="24"/>
                <w:szCs w:val="24"/>
                <w:lang w:val="et-EE" w:eastAsia="en-US" w:bidi="ar-SA"/>
              </w:rPr>
              <w:t>Väikehange / Hankekord § 2 lg 1 p 2</w:t>
            </w:r>
          </w:p>
        </w:tc>
      </w:tr>
      <w:tr>
        <w:trPr/>
        <w:tc>
          <w:tcPr>
            <w:tcW w:w="3975" w:type="dxa"/>
            <w:tcBorders>
              <w:top w:val="single" w:sz="2" w:space="0" w:color="000001"/>
              <w:left w:val="single" w:sz="2" w:space="0" w:color="000001"/>
              <w:bottom w:val="single" w:sz="2" w:space="0" w:color="000001"/>
            </w:tcBorders>
            <w:shd w:fill="B4C7DC" w:val="clear"/>
          </w:tcPr>
          <w:p>
            <w:pPr>
              <w:pStyle w:val="Default"/>
              <w:widowControl w:val="false"/>
              <w:spacing w:before="0" w:after="170"/>
              <w:jc w:val="both"/>
              <w:rPr>
                <w:rFonts w:ascii="Times New Roman" w:hAnsi="Times New Roman"/>
                <w:sz w:val="24"/>
                <w:szCs w:val="24"/>
              </w:rPr>
            </w:pPr>
            <w:r>
              <w:rPr>
                <w:rFonts w:eastAsia="Times New Roman" w:cs="Times New Roman" w:ascii="Times New Roman" w:hAnsi="Times New Roman"/>
                <w:color w:val="00000A"/>
                <w:sz w:val="24"/>
                <w:szCs w:val="24"/>
              </w:rPr>
              <w:t>KUTSETE VÄLJASTAMISE AEG JA VIIS</w:t>
            </w:r>
          </w:p>
        </w:tc>
        <w:tc>
          <w:tcPr>
            <w:tcW w:w="5054" w:type="dxa"/>
            <w:tcBorders>
              <w:top w:val="single" w:sz="2" w:space="0" w:color="000001"/>
              <w:left w:val="single" w:sz="2" w:space="0" w:color="000001"/>
              <w:bottom w:val="single" w:sz="2" w:space="0" w:color="000001"/>
              <w:right w:val="single" w:sz="2" w:space="0" w:color="000001"/>
            </w:tcBorders>
            <w:vAlign w:val="center"/>
          </w:tcPr>
          <w:p>
            <w:pPr>
              <w:pStyle w:val="Tabelisisu"/>
              <w:widowControl w:val="false"/>
              <w:spacing w:before="0" w:after="120"/>
              <w:jc w:val="left"/>
              <w:rPr/>
            </w:pPr>
            <w:r>
              <w:rPr>
                <w:rStyle w:val="Internetilink"/>
                <w:color w:val="00000A"/>
                <w:sz w:val="24"/>
                <w:szCs w:val="24"/>
                <w:u w:val="none"/>
              </w:rPr>
              <w:t xml:space="preserve">Avaldatud  </w:t>
            </w:r>
            <w:hyperlink r:id="rId2">
              <w:r>
                <w:rPr>
                  <w:rStyle w:val="Internetilink"/>
                  <w:color w:val="00000A"/>
                  <w:sz w:val="24"/>
                  <w:szCs w:val="24"/>
                  <w:u w:val="none"/>
                </w:rPr>
                <w:t>https://www.laanenigula.ee/578</w:t>
              </w:r>
            </w:hyperlink>
            <w:r>
              <w:rPr>
                <w:rStyle w:val="Internetilink"/>
                <w:color w:val="00000A"/>
                <w:sz w:val="24"/>
                <w:szCs w:val="24"/>
                <w:u w:val="none"/>
              </w:rPr>
              <w:t xml:space="preserve"> 17.05.2024</w:t>
            </w:r>
          </w:p>
          <w:p>
            <w:pPr>
              <w:pStyle w:val="Tabelisisu"/>
              <w:widowControl w:val="false"/>
              <w:spacing w:before="0" w:after="120"/>
              <w:jc w:val="left"/>
              <w:rPr/>
            </w:pPr>
            <w:r>
              <w:rPr>
                <w:rStyle w:val="Internetilink"/>
                <w:color w:val="00000A"/>
                <w:sz w:val="24"/>
                <w:szCs w:val="24"/>
                <w:u w:val="none"/>
              </w:rPr>
              <w:t>Nimelised kutsed esitatud  e-kirja teel varasematele koostööpartneritele</w:t>
            </w:r>
          </w:p>
        </w:tc>
      </w:tr>
      <w:tr>
        <w:trPr/>
        <w:tc>
          <w:tcPr>
            <w:tcW w:w="3975" w:type="dxa"/>
            <w:tcBorders>
              <w:top w:val="single" w:sz="2" w:space="0" w:color="000001"/>
              <w:left w:val="single" w:sz="2" w:space="0" w:color="000001"/>
              <w:bottom w:val="single" w:sz="2" w:space="0" w:color="000001"/>
            </w:tcBorders>
            <w:shd w:fill="B4C7DC" w:val="clear"/>
          </w:tcPr>
          <w:p>
            <w:pPr>
              <w:pStyle w:val="Default"/>
              <w:widowControl w:val="false"/>
              <w:spacing w:before="0" w:after="170"/>
              <w:jc w:val="both"/>
              <w:rPr>
                <w:rFonts w:ascii="Times New Roman" w:hAnsi="Times New Roman"/>
                <w:sz w:val="24"/>
                <w:szCs w:val="24"/>
              </w:rPr>
            </w:pPr>
            <w:r>
              <w:rPr>
                <w:rFonts w:eastAsia="Times New Roman" w:cs="Times New Roman" w:ascii="Times New Roman" w:hAnsi="Times New Roman"/>
                <w:color w:val="00000A"/>
                <w:sz w:val="24"/>
                <w:szCs w:val="24"/>
              </w:rPr>
              <w:t>PAKKUMUSTE ESITAMISE TÄHT-AEG JA VIIS</w:t>
            </w:r>
          </w:p>
        </w:tc>
        <w:tc>
          <w:tcPr>
            <w:tcW w:w="5054" w:type="dxa"/>
            <w:tcBorders>
              <w:top w:val="single" w:sz="2" w:space="0" w:color="000001"/>
              <w:left w:val="single" w:sz="2" w:space="0" w:color="000001"/>
              <w:bottom w:val="single" w:sz="2" w:space="0" w:color="000001"/>
              <w:right w:val="single" w:sz="2" w:space="0" w:color="000001"/>
            </w:tcBorders>
          </w:tcPr>
          <w:p>
            <w:pPr>
              <w:pStyle w:val="Tabelisisu"/>
              <w:widowControl w:val="false"/>
              <w:spacing w:before="0" w:after="120"/>
              <w:jc w:val="left"/>
              <w:rPr>
                <w:rFonts w:ascii="Times New Roman" w:hAnsi="Times New Roman"/>
                <w:sz w:val="24"/>
                <w:szCs w:val="24"/>
              </w:rPr>
            </w:pPr>
            <w:r>
              <w:rPr>
                <w:sz w:val="24"/>
                <w:szCs w:val="24"/>
              </w:rPr>
              <w:t>Hiljemalt 07</w:t>
            </w:r>
            <w:r>
              <w:rPr>
                <w:rFonts w:eastAsia="Lucida Sans Unicode" w:cs="Times New Roman"/>
                <w:color w:val="00000A"/>
                <w:kern w:val="0"/>
                <w:sz w:val="24"/>
                <w:szCs w:val="24"/>
                <w:lang w:val="et-EE" w:eastAsia="en-US" w:bidi="ar-SA"/>
              </w:rPr>
              <w:t>.06.202</w:t>
            </w:r>
            <w:r>
              <w:rPr>
                <w:rFonts w:eastAsia="Lucida Sans Unicode" w:cs="Times New Roman"/>
                <w:color w:val="00000A"/>
                <w:kern w:val="0"/>
                <w:sz w:val="24"/>
                <w:szCs w:val="24"/>
                <w:lang w:val="et-EE" w:eastAsia="en-US" w:bidi="ar-SA"/>
              </w:rPr>
              <w:t>4</w:t>
            </w:r>
            <w:r>
              <w:rPr>
                <w:sz w:val="24"/>
                <w:szCs w:val="24"/>
              </w:rPr>
              <w:t xml:space="preserve"> kell 1</w:t>
            </w:r>
            <w:r>
              <w:rPr>
                <w:rFonts w:eastAsia="Lucida Sans Unicode" w:cs="Times New Roman"/>
                <w:color w:val="00000A"/>
                <w:kern w:val="0"/>
                <w:sz w:val="24"/>
                <w:szCs w:val="24"/>
                <w:lang w:val="et-EE" w:eastAsia="en-US" w:bidi="ar-SA"/>
              </w:rPr>
              <w:t>5</w:t>
            </w:r>
            <w:r>
              <w:rPr>
                <w:sz w:val="24"/>
                <w:szCs w:val="24"/>
              </w:rPr>
              <w:t>:00</w:t>
            </w:r>
          </w:p>
          <w:p>
            <w:pPr>
              <w:pStyle w:val="Tabelisisu"/>
              <w:widowControl w:val="false"/>
              <w:spacing w:before="0" w:after="120"/>
              <w:jc w:val="left"/>
              <w:rPr/>
            </w:pPr>
            <w:r>
              <w:rPr>
                <w:sz w:val="24"/>
                <w:szCs w:val="24"/>
              </w:rPr>
              <w:t xml:space="preserve">elektrooniliselt </w:t>
            </w:r>
            <w:hyperlink r:id="rId3">
              <w:r>
                <w:rPr>
                  <w:rStyle w:val="Internetilink"/>
                  <w:sz w:val="24"/>
                  <w:szCs w:val="24"/>
                </w:rPr>
                <w:t>risti@laanenigula.ee</w:t>
              </w:r>
            </w:hyperlink>
            <w:r>
              <w:rPr>
                <w:rStyle w:val="Internetilink"/>
                <w:sz w:val="24"/>
                <w:szCs w:val="24"/>
              </w:rPr>
              <w:t xml:space="preserve"> </w:t>
            </w:r>
            <w:r>
              <w:rPr>
                <w:rStyle w:val="Internetilink"/>
                <w:sz w:val="24"/>
                <w:szCs w:val="24"/>
                <w:u w:val="none"/>
              </w:rPr>
              <w:t xml:space="preserve">või </w:t>
            </w:r>
            <w:r>
              <w:rPr>
                <w:rStyle w:val="Internetilink"/>
                <w:sz w:val="24"/>
                <w:szCs w:val="24"/>
              </w:rPr>
              <w:t>rein.kruusmaa@laanenigula.ee</w:t>
            </w:r>
          </w:p>
        </w:tc>
      </w:tr>
      <w:tr>
        <w:trPr/>
        <w:tc>
          <w:tcPr>
            <w:tcW w:w="3975" w:type="dxa"/>
            <w:tcBorders>
              <w:left w:val="single" w:sz="2" w:space="0" w:color="000001"/>
              <w:bottom w:val="single" w:sz="2" w:space="0" w:color="000001"/>
            </w:tcBorders>
            <w:shd w:fill="B4C7DC" w:val="clear"/>
          </w:tcPr>
          <w:p>
            <w:pPr>
              <w:pStyle w:val="Tabelisisu"/>
              <w:widowControl w:val="false"/>
              <w:spacing w:lineRule="auto" w:line="240" w:before="0" w:after="113"/>
              <w:jc w:val="both"/>
              <w:rPr>
                <w:rFonts w:ascii="Times New Roman" w:hAnsi="Times New Roman"/>
                <w:sz w:val="24"/>
                <w:szCs w:val="24"/>
              </w:rPr>
            </w:pPr>
            <w:r>
              <w:rPr>
                <w:strike w:val="false"/>
                <w:dstrike w:val="false"/>
                <w:sz w:val="24"/>
                <w:szCs w:val="24"/>
                <w:lang w:val="et-EE"/>
              </w:rPr>
              <w:t>PAKKUMUSE JÕUSOLEKU AEG</w:t>
            </w:r>
          </w:p>
        </w:tc>
        <w:tc>
          <w:tcPr>
            <w:tcW w:w="5054" w:type="dxa"/>
            <w:tcBorders>
              <w:left w:val="single" w:sz="2" w:space="0" w:color="000001"/>
              <w:bottom w:val="single" w:sz="2" w:space="0" w:color="000001"/>
              <w:right w:val="single" w:sz="2" w:space="0" w:color="000001"/>
            </w:tcBorders>
          </w:tcPr>
          <w:p>
            <w:pPr>
              <w:pStyle w:val="Tabelisisu"/>
              <w:widowControl w:val="false"/>
              <w:spacing w:lineRule="auto" w:line="240" w:before="0" w:after="113"/>
              <w:jc w:val="left"/>
              <w:rPr>
                <w:rFonts w:ascii="Times New Roman" w:hAnsi="Times New Roman"/>
                <w:sz w:val="24"/>
                <w:szCs w:val="24"/>
              </w:rPr>
            </w:pPr>
            <w:r>
              <w:rPr>
                <w:strike w:val="false"/>
                <w:dstrike w:val="false"/>
                <w:sz w:val="24"/>
                <w:szCs w:val="24"/>
                <w:lang w:val="et-EE"/>
              </w:rPr>
              <w:t>Vähemalt 30 päeva</w:t>
            </w:r>
          </w:p>
        </w:tc>
      </w:tr>
      <w:tr>
        <w:trPr/>
        <w:tc>
          <w:tcPr>
            <w:tcW w:w="3975" w:type="dxa"/>
            <w:tcBorders>
              <w:top w:val="single" w:sz="2" w:space="0" w:color="000001"/>
              <w:left w:val="single" w:sz="2" w:space="0" w:color="000001"/>
              <w:bottom w:val="single" w:sz="2" w:space="0" w:color="000001"/>
            </w:tcBorders>
            <w:shd w:fill="B4C7DC" w:val="clear"/>
          </w:tcPr>
          <w:p>
            <w:pPr>
              <w:pStyle w:val="Tabelisisu"/>
              <w:widowControl w:val="false"/>
              <w:spacing w:before="0" w:after="120"/>
              <w:jc w:val="both"/>
              <w:rPr>
                <w:rFonts w:ascii="Times New Roman" w:hAnsi="Times New Roman"/>
                <w:sz w:val="24"/>
                <w:szCs w:val="24"/>
              </w:rPr>
            </w:pPr>
            <w:r>
              <w:rPr>
                <w:sz w:val="24"/>
                <w:szCs w:val="24"/>
              </w:rPr>
              <w:t>LEPINGU TINGIMUSED</w:t>
            </w:r>
          </w:p>
        </w:tc>
        <w:tc>
          <w:tcPr>
            <w:tcW w:w="5054" w:type="dxa"/>
            <w:tcBorders>
              <w:top w:val="single" w:sz="2" w:space="0" w:color="000001"/>
              <w:left w:val="single" w:sz="2" w:space="0" w:color="000001"/>
              <w:bottom w:val="single" w:sz="2" w:space="0" w:color="000001"/>
              <w:right w:val="single" w:sz="2" w:space="0" w:color="000001"/>
            </w:tcBorders>
          </w:tcPr>
          <w:p>
            <w:pPr>
              <w:pStyle w:val="Tabelisisu"/>
              <w:widowControl w:val="false"/>
              <w:spacing w:before="0" w:after="120"/>
              <w:jc w:val="left"/>
              <w:rPr>
                <w:rFonts w:ascii="Times New Roman" w:hAnsi="Times New Roman"/>
                <w:sz w:val="24"/>
                <w:szCs w:val="24"/>
              </w:rPr>
            </w:pPr>
            <w:r>
              <w:rPr>
                <w:rFonts w:eastAsia="Times New Roman" w:cs="Times New Roman"/>
                <w:b w:val="false"/>
                <w:bCs w:val="false"/>
                <w:iCs/>
                <w:strike w:val="false"/>
                <w:dstrike w:val="false"/>
                <w:color w:val="00000A"/>
                <w:kern w:val="0"/>
                <w:sz w:val="24"/>
                <w:szCs w:val="24"/>
                <w:u w:val="none"/>
                <w:shd w:fill="FFFFFF" w:val="clear"/>
                <w:lang w:val="et-EE" w:eastAsia="et-EE" w:bidi="ar-SA"/>
              </w:rPr>
              <w:t>ETÜ 2013</w:t>
            </w:r>
          </w:p>
        </w:tc>
      </w:tr>
      <w:tr>
        <w:trPr/>
        <w:tc>
          <w:tcPr>
            <w:tcW w:w="3975" w:type="dxa"/>
            <w:tcBorders>
              <w:left w:val="single" w:sz="2" w:space="0" w:color="000001"/>
              <w:bottom w:val="single" w:sz="2" w:space="0" w:color="000001"/>
            </w:tcBorders>
            <w:shd w:fill="B4C7DC" w:val="clear"/>
          </w:tcPr>
          <w:p>
            <w:pPr>
              <w:pStyle w:val="Tabelisisu"/>
              <w:widowControl w:val="false"/>
              <w:spacing w:before="0" w:after="120"/>
              <w:jc w:val="both"/>
              <w:rPr>
                <w:rFonts w:ascii="Times New Roman" w:hAnsi="Times New Roman"/>
                <w:sz w:val="24"/>
                <w:szCs w:val="24"/>
              </w:rPr>
            </w:pPr>
            <w:r>
              <w:rPr>
                <w:sz w:val="24"/>
                <w:szCs w:val="24"/>
              </w:rPr>
              <w:t>GARANTII</w:t>
            </w:r>
          </w:p>
        </w:tc>
        <w:tc>
          <w:tcPr>
            <w:tcW w:w="5054" w:type="dxa"/>
            <w:tcBorders>
              <w:left w:val="single" w:sz="2" w:space="0" w:color="000001"/>
              <w:bottom w:val="single" w:sz="2" w:space="0" w:color="000001"/>
              <w:right w:val="single" w:sz="2" w:space="0" w:color="000001"/>
            </w:tcBorders>
          </w:tcPr>
          <w:p>
            <w:pPr>
              <w:pStyle w:val="Tabelisisu"/>
              <w:widowControl w:val="false"/>
              <w:spacing w:before="0" w:after="120"/>
              <w:jc w:val="left"/>
              <w:rPr>
                <w:rFonts w:ascii="Times New Roman" w:hAnsi="Times New Roman"/>
                <w:sz w:val="24"/>
                <w:szCs w:val="24"/>
              </w:rPr>
            </w:pPr>
            <w:r>
              <w:rPr>
                <w:sz w:val="24"/>
                <w:szCs w:val="24"/>
              </w:rPr>
              <w:t>24 kuud</w:t>
            </w:r>
          </w:p>
        </w:tc>
      </w:tr>
      <w:tr>
        <w:trPr/>
        <w:tc>
          <w:tcPr>
            <w:tcW w:w="3975" w:type="dxa"/>
            <w:tcBorders>
              <w:left w:val="single" w:sz="2" w:space="0" w:color="000001"/>
              <w:bottom w:val="single" w:sz="2" w:space="0" w:color="000001"/>
            </w:tcBorders>
            <w:shd w:fill="B4C7DC" w:val="clear"/>
          </w:tcPr>
          <w:p>
            <w:pPr>
              <w:pStyle w:val="Tabelisisu"/>
              <w:widowControl w:val="false"/>
              <w:spacing w:before="0" w:after="120"/>
              <w:jc w:val="both"/>
              <w:rPr>
                <w:rFonts w:ascii="Times New Roman" w:hAnsi="Times New Roman"/>
                <w:sz w:val="24"/>
                <w:szCs w:val="24"/>
              </w:rPr>
            </w:pPr>
            <w:r>
              <w:rPr>
                <w:sz w:val="24"/>
                <w:szCs w:val="24"/>
              </w:rPr>
              <w:t>MAKSETINGIMUS</w:t>
            </w:r>
          </w:p>
        </w:tc>
        <w:tc>
          <w:tcPr>
            <w:tcW w:w="5054" w:type="dxa"/>
            <w:tcBorders>
              <w:left w:val="single" w:sz="2" w:space="0" w:color="000001"/>
              <w:bottom w:val="single" w:sz="2" w:space="0" w:color="000001"/>
              <w:right w:val="single" w:sz="2" w:space="0" w:color="000001"/>
            </w:tcBorders>
          </w:tcPr>
          <w:p>
            <w:pPr>
              <w:pStyle w:val="Tabelisisu"/>
              <w:widowControl w:val="false"/>
              <w:spacing w:before="0" w:after="120"/>
              <w:jc w:val="left"/>
              <w:rPr>
                <w:rFonts w:ascii="Times New Roman" w:hAnsi="Times New Roman"/>
                <w:sz w:val="24"/>
                <w:szCs w:val="24"/>
              </w:rPr>
            </w:pPr>
            <w:r>
              <w:rPr>
                <w:sz w:val="24"/>
                <w:szCs w:val="24"/>
              </w:rPr>
              <w:t>Igakuiselt teostatud tööde akti alusel</w:t>
            </w:r>
          </w:p>
        </w:tc>
      </w:tr>
      <w:tr>
        <w:trPr/>
        <w:tc>
          <w:tcPr>
            <w:tcW w:w="3975" w:type="dxa"/>
            <w:tcBorders>
              <w:left w:val="single" w:sz="2" w:space="0" w:color="000001"/>
              <w:bottom w:val="single" w:sz="2" w:space="0" w:color="000001"/>
            </w:tcBorders>
            <w:shd w:fill="B4C7DC" w:val="clear"/>
          </w:tcPr>
          <w:p>
            <w:pPr>
              <w:pStyle w:val="Tabelisisu"/>
              <w:widowControl w:val="false"/>
              <w:spacing w:lineRule="auto" w:line="240" w:before="0" w:after="113"/>
              <w:jc w:val="both"/>
              <w:rPr>
                <w:rFonts w:ascii="Times New Roman" w:hAnsi="Times New Roman"/>
                <w:sz w:val="24"/>
                <w:szCs w:val="24"/>
              </w:rPr>
            </w:pPr>
            <w:r>
              <w:rPr>
                <w:strike w:val="false"/>
                <w:dstrike w:val="false"/>
                <w:sz w:val="24"/>
                <w:szCs w:val="24"/>
                <w:lang w:val="et-EE"/>
              </w:rPr>
              <w:t>TÖÖ TÄHTAEG</w:t>
            </w:r>
          </w:p>
        </w:tc>
        <w:tc>
          <w:tcPr>
            <w:tcW w:w="5054" w:type="dxa"/>
            <w:tcBorders>
              <w:left w:val="single" w:sz="2" w:space="0" w:color="000001"/>
              <w:bottom w:val="single" w:sz="2" w:space="0" w:color="000001"/>
              <w:right w:val="single" w:sz="2" w:space="0" w:color="000001"/>
            </w:tcBorders>
            <w:vAlign w:val="bottom"/>
          </w:tcPr>
          <w:p>
            <w:pPr>
              <w:pStyle w:val="Tabelisisu"/>
              <w:widowControl w:val="false"/>
              <w:spacing w:lineRule="auto" w:line="240" w:before="0" w:after="113"/>
              <w:jc w:val="left"/>
              <w:rPr>
                <w:rFonts w:ascii="Times New Roman" w:hAnsi="Times New Roman"/>
                <w:sz w:val="24"/>
                <w:szCs w:val="24"/>
              </w:rPr>
            </w:pPr>
            <w:r>
              <w:rPr>
                <w:rFonts w:eastAsia="Lucida Sans Unicode" w:cs="Times New Roman"/>
                <w:strike w:val="false"/>
                <w:dstrike w:val="false"/>
                <w:color w:val="00000A"/>
                <w:kern w:val="0"/>
                <w:sz w:val="24"/>
                <w:szCs w:val="24"/>
                <w:lang w:val="et-EE" w:eastAsia="en-US" w:bidi="ar-SA"/>
              </w:rPr>
              <w:t>15.08.2024</w:t>
            </w:r>
          </w:p>
        </w:tc>
      </w:tr>
      <w:tr>
        <w:trPr/>
        <w:tc>
          <w:tcPr>
            <w:tcW w:w="3975" w:type="dxa"/>
            <w:tcBorders>
              <w:top w:val="single" w:sz="2" w:space="0" w:color="000001"/>
              <w:left w:val="single" w:sz="2" w:space="0" w:color="000001"/>
              <w:bottom w:val="single" w:sz="2" w:space="0" w:color="000001"/>
            </w:tcBorders>
            <w:shd w:fill="B4C7DC" w:val="clear"/>
          </w:tcPr>
          <w:p>
            <w:pPr>
              <w:pStyle w:val="Tabelisisu"/>
              <w:widowControl w:val="false"/>
              <w:spacing w:before="0" w:after="120"/>
              <w:jc w:val="both"/>
              <w:rPr>
                <w:rFonts w:ascii="Times New Roman" w:hAnsi="Times New Roman"/>
                <w:sz w:val="24"/>
                <w:szCs w:val="24"/>
              </w:rPr>
            </w:pPr>
            <w:r>
              <w:rPr>
                <w:sz w:val="24"/>
                <w:szCs w:val="24"/>
              </w:rPr>
              <w:t>EELDATAV MAKSUMUS</w:t>
            </w:r>
          </w:p>
        </w:tc>
        <w:tc>
          <w:tcPr>
            <w:tcW w:w="5054" w:type="dxa"/>
            <w:tcBorders>
              <w:top w:val="single" w:sz="2" w:space="0" w:color="000001"/>
              <w:left w:val="single" w:sz="2" w:space="0" w:color="000001"/>
              <w:bottom w:val="single" w:sz="2" w:space="0" w:color="000001"/>
              <w:right w:val="single" w:sz="2" w:space="0" w:color="000001"/>
            </w:tcBorders>
          </w:tcPr>
          <w:p>
            <w:pPr>
              <w:pStyle w:val="Tabelisisu"/>
              <w:widowControl w:val="false"/>
              <w:spacing w:before="0" w:after="120"/>
              <w:jc w:val="left"/>
              <w:rPr>
                <w:rFonts w:ascii="Times New Roman" w:hAnsi="Times New Roman"/>
                <w:sz w:val="24"/>
                <w:szCs w:val="24"/>
              </w:rPr>
            </w:pPr>
            <w:r>
              <w:rPr>
                <w:rFonts w:eastAsia="Lucida Sans Unicode" w:cs="Times New Roman"/>
                <w:color w:val="00000A"/>
                <w:kern w:val="0"/>
                <w:sz w:val="24"/>
                <w:szCs w:val="24"/>
                <w:lang w:val="et-EE" w:eastAsia="en-US" w:bidi="ar-SA"/>
              </w:rPr>
              <w:t>Ei avalda</w:t>
            </w:r>
          </w:p>
        </w:tc>
      </w:tr>
      <w:tr>
        <w:trPr/>
        <w:tc>
          <w:tcPr>
            <w:tcW w:w="3975" w:type="dxa"/>
            <w:tcBorders>
              <w:top w:val="single" w:sz="2" w:space="0" w:color="000001"/>
              <w:left w:val="single" w:sz="2" w:space="0" w:color="000001"/>
              <w:bottom w:val="single" w:sz="2" w:space="0" w:color="000001"/>
            </w:tcBorders>
            <w:shd w:fill="B4C7DC" w:val="clear"/>
          </w:tcPr>
          <w:p>
            <w:pPr>
              <w:pStyle w:val="Tabelisisu"/>
              <w:widowControl w:val="false"/>
              <w:spacing w:before="0" w:after="120"/>
              <w:jc w:val="both"/>
              <w:rPr>
                <w:rFonts w:ascii="Times New Roman" w:hAnsi="Times New Roman"/>
                <w:sz w:val="24"/>
                <w:szCs w:val="24"/>
              </w:rPr>
            </w:pPr>
            <w:r>
              <w:rPr>
                <w:sz w:val="24"/>
                <w:szCs w:val="24"/>
              </w:rPr>
              <w:t>HINDAMISE VIIS</w:t>
            </w:r>
          </w:p>
        </w:tc>
        <w:tc>
          <w:tcPr>
            <w:tcW w:w="5054" w:type="dxa"/>
            <w:tcBorders>
              <w:top w:val="single" w:sz="2" w:space="0" w:color="000001"/>
              <w:left w:val="single" w:sz="2" w:space="0" w:color="000001"/>
              <w:bottom w:val="single" w:sz="2" w:space="0" w:color="000001"/>
              <w:right w:val="single" w:sz="2" w:space="0" w:color="000001"/>
            </w:tcBorders>
          </w:tcPr>
          <w:p>
            <w:pPr>
              <w:pStyle w:val="Tabelisisu"/>
              <w:widowControl w:val="false"/>
              <w:spacing w:before="0" w:after="120"/>
              <w:jc w:val="left"/>
              <w:rPr>
                <w:rFonts w:ascii="Times New Roman" w:hAnsi="Times New Roman"/>
                <w:sz w:val="24"/>
                <w:szCs w:val="24"/>
              </w:rPr>
            </w:pPr>
            <w:r>
              <w:rPr>
                <w:rFonts w:eastAsia="Lucida Sans Unicode" w:cs="Times New Roman"/>
                <w:color w:val="00000A"/>
                <w:kern w:val="0"/>
                <w:sz w:val="24"/>
                <w:szCs w:val="24"/>
                <w:lang w:val="et-EE" w:eastAsia="en-US" w:bidi="ar-SA"/>
              </w:rPr>
              <w:t>Madalam hind on parem</w:t>
            </w:r>
          </w:p>
        </w:tc>
      </w:tr>
      <w:tr>
        <w:trPr/>
        <w:tc>
          <w:tcPr>
            <w:tcW w:w="3975" w:type="dxa"/>
            <w:tcBorders>
              <w:top w:val="single" w:sz="2" w:space="0" w:color="000001"/>
              <w:left w:val="single" w:sz="2" w:space="0" w:color="000001"/>
              <w:bottom w:val="single" w:sz="2" w:space="0" w:color="000001"/>
            </w:tcBorders>
            <w:shd w:fill="B4C7DC" w:val="clear"/>
          </w:tcPr>
          <w:p>
            <w:pPr>
              <w:pStyle w:val="Phitekst"/>
              <w:widowControl w:val="false"/>
              <w:suppressAutoHyphens w:val="true"/>
              <w:spacing w:lineRule="auto" w:line="240" w:before="0" w:after="120"/>
              <w:jc w:val="left"/>
              <w:rPr>
                <w:rFonts w:ascii="Times New Roman" w:hAnsi="Times New Roman"/>
                <w:sz w:val="24"/>
                <w:szCs w:val="24"/>
              </w:rPr>
            </w:pPr>
            <w:r>
              <w:rPr>
                <w:sz w:val="24"/>
                <w:szCs w:val="24"/>
              </w:rPr>
              <w:t>ERINÕUDED PAKKUJALE VÕI PAKKUJATE VALIKU PÕHJENDUS</w:t>
            </w:r>
          </w:p>
        </w:tc>
        <w:tc>
          <w:tcPr>
            <w:tcW w:w="5054" w:type="dxa"/>
            <w:tcBorders>
              <w:top w:val="single" w:sz="2" w:space="0" w:color="000001"/>
              <w:left w:val="single" w:sz="2" w:space="0" w:color="000001"/>
              <w:bottom w:val="single" w:sz="2" w:space="0" w:color="000001"/>
              <w:right w:val="single" w:sz="2" w:space="0" w:color="000001"/>
            </w:tcBorders>
          </w:tcPr>
          <w:p>
            <w:pPr>
              <w:pStyle w:val="Phitekst"/>
              <w:widowControl w:val="false"/>
              <w:suppressAutoHyphens w:val="true"/>
              <w:spacing w:lineRule="auto" w:line="240" w:before="0" w:after="113"/>
              <w:jc w:val="left"/>
              <w:rPr>
                <w:rFonts w:ascii="Times New Roman" w:hAnsi="Times New Roman"/>
                <w:sz w:val="24"/>
                <w:szCs w:val="24"/>
              </w:rPr>
            </w:pPr>
            <w:r>
              <w:rPr>
                <w:strike w:val="false"/>
                <w:dstrike w:val="false"/>
                <w:sz w:val="24"/>
                <w:szCs w:val="24"/>
                <w:lang w:val="et-EE"/>
              </w:rPr>
              <w:t>Osalejate ringi ei kitsendata. Pakkujal peab olema pädevus üldehituse valdkonnas</w:t>
            </w:r>
          </w:p>
        </w:tc>
      </w:tr>
      <w:tr>
        <w:trPr/>
        <w:tc>
          <w:tcPr>
            <w:tcW w:w="3975" w:type="dxa"/>
            <w:tcBorders>
              <w:left w:val="single" w:sz="2" w:space="0" w:color="000001"/>
              <w:bottom w:val="single" w:sz="2" w:space="0" w:color="000001"/>
            </w:tcBorders>
            <w:shd w:fill="B4C7DC" w:val="clear"/>
          </w:tcPr>
          <w:p>
            <w:pPr>
              <w:pStyle w:val="Phitekst"/>
              <w:widowControl w:val="false"/>
              <w:spacing w:lineRule="auto" w:line="240" w:before="0" w:after="113"/>
              <w:jc w:val="both"/>
              <w:rPr>
                <w:rFonts w:ascii="Times New Roman" w:hAnsi="Times New Roman"/>
                <w:sz w:val="24"/>
                <w:szCs w:val="24"/>
              </w:rPr>
            </w:pPr>
            <w:r>
              <w:rPr>
                <w:strike w:val="false"/>
                <w:dstrike w:val="false"/>
                <w:sz w:val="24"/>
                <w:szCs w:val="24"/>
                <w:lang w:val="et-EE"/>
              </w:rPr>
              <w:t>ALUSDOKUMENTIDE KÄTTESAADAVUS</w:t>
            </w:r>
          </w:p>
        </w:tc>
        <w:tc>
          <w:tcPr>
            <w:tcW w:w="5054" w:type="dxa"/>
            <w:tcBorders>
              <w:left w:val="single" w:sz="2" w:space="0" w:color="000001"/>
              <w:bottom w:val="single" w:sz="2" w:space="0" w:color="000001"/>
              <w:right w:val="single" w:sz="2" w:space="0" w:color="000001"/>
            </w:tcBorders>
          </w:tcPr>
          <w:p>
            <w:pPr>
              <w:pStyle w:val="Phitekst"/>
              <w:widowControl w:val="false"/>
              <w:spacing w:lineRule="auto" w:line="240" w:before="0" w:after="113"/>
              <w:jc w:val="left"/>
              <w:rPr>
                <w:rFonts w:ascii="Times New Roman" w:hAnsi="Times New Roman"/>
                <w:sz w:val="24"/>
                <w:szCs w:val="24"/>
              </w:rPr>
            </w:pPr>
            <w:r>
              <w:rPr>
                <w:strike w:val="false"/>
                <w:dstrike w:val="false"/>
                <w:sz w:val="24"/>
                <w:szCs w:val="24"/>
                <w:lang w:val="et-EE"/>
              </w:rPr>
              <w:t>Hanke alusandmed sisalduvad hankedokumendis</w:t>
            </w:r>
          </w:p>
          <w:p>
            <w:pPr>
              <w:pStyle w:val="Phitekst"/>
              <w:widowControl w:val="false"/>
              <w:spacing w:lineRule="auto" w:line="240" w:before="0" w:after="113"/>
              <w:jc w:val="left"/>
              <w:rPr/>
            </w:pPr>
            <w:r>
              <w:rPr>
                <w:strike w:val="false"/>
                <w:dstrike w:val="false"/>
                <w:sz w:val="24"/>
                <w:szCs w:val="24"/>
                <w:lang w:val="et-EE"/>
              </w:rPr>
              <w:t xml:space="preserve">Täpsustavad küsimused: Rein Kruusmaa </w:t>
            </w:r>
            <w:hyperlink r:id="rId4">
              <w:r>
                <w:rPr>
                  <w:rStyle w:val="Internetilink"/>
                  <w:strike w:val="false"/>
                  <w:dstrike w:val="false"/>
                  <w:sz w:val="24"/>
                  <w:szCs w:val="24"/>
                  <w:lang w:val="et-EE"/>
                </w:rPr>
                <w:t>rein.kruusmaa@laanenigula.ee</w:t>
              </w:r>
            </w:hyperlink>
            <w:r>
              <w:rPr>
                <w:strike w:val="false"/>
                <w:dstrike w:val="false"/>
                <w:sz w:val="24"/>
                <w:szCs w:val="24"/>
                <w:lang w:val="et-EE"/>
              </w:rPr>
              <w:t>, 5691 8607</w:t>
            </w:r>
          </w:p>
        </w:tc>
      </w:tr>
    </w:tbl>
    <w:p>
      <w:pPr>
        <w:pStyle w:val="Normal"/>
        <w:widowControl w:val="false"/>
        <w:spacing w:before="0" w:after="170"/>
        <w:ind w:left="720" w:right="0" w:hanging="0"/>
        <w:jc w:val="both"/>
        <w:rPr>
          <w:rFonts w:ascii="Times New Roman" w:hAnsi="Times New Roman" w:eastAsia="Lucida Sans Unicode" w:cs="Times New Roman"/>
          <w:sz w:val="24"/>
          <w:szCs w:val="24"/>
        </w:rPr>
      </w:pPr>
      <w:r>
        <w:rPr>
          <w:rFonts w:eastAsia="Lucida Sans Unicode" w:cs="Times New Roman" w:ascii="Times New Roman" w:hAnsi="Times New Roman"/>
          <w:sz w:val="24"/>
          <w:szCs w:val="24"/>
        </w:rPr>
      </w:r>
    </w:p>
    <w:p>
      <w:pPr>
        <w:pStyle w:val="Normal"/>
        <w:widowControl w:val="false"/>
        <w:numPr>
          <w:ilvl w:val="0"/>
          <w:numId w:val="2"/>
        </w:numPr>
        <w:spacing w:before="0" w:after="170"/>
        <w:ind w:left="737" w:right="0" w:hanging="737"/>
        <w:jc w:val="both"/>
        <w:rPr>
          <w:rFonts w:ascii="Times New Roman" w:hAnsi="Times New Roman"/>
          <w:sz w:val="24"/>
          <w:szCs w:val="24"/>
        </w:rPr>
      </w:pPr>
      <w:r>
        <w:rPr>
          <w:rFonts w:eastAsia="Calibri" w:cs="Times New Roman" w:ascii="Times New Roman" w:hAnsi="Times New Roman"/>
          <w:b/>
          <w:bCs/>
          <w:iCs/>
          <w:color w:val="3465A4"/>
          <w:kern w:val="0"/>
          <w:sz w:val="24"/>
          <w:szCs w:val="24"/>
          <w:lang w:val="et-EE" w:eastAsia="en-US" w:bidi="ar-SA"/>
        </w:rPr>
        <w:t>HANKIJA EESMÄRK JA HANKELEPINGU ESE</w:t>
      </w:r>
    </w:p>
    <w:p>
      <w:pPr>
        <w:pStyle w:val="Normal"/>
        <w:widowControl w:val="false"/>
        <w:numPr>
          <w:ilvl w:val="1"/>
          <w:numId w:val="2"/>
        </w:numPr>
        <w:spacing w:before="0" w:after="170"/>
        <w:ind w:left="709" w:right="0" w:hanging="737"/>
        <w:jc w:val="both"/>
        <w:rPr>
          <w:rFonts w:ascii="Times New Roman" w:hAnsi="Times New Roman"/>
          <w:sz w:val="24"/>
          <w:szCs w:val="24"/>
        </w:rPr>
      </w:pPr>
      <w:r>
        <w:rPr>
          <w:rFonts w:eastAsia="Calibri" w:cs="Times New Roman" w:ascii="Times New Roman" w:hAnsi="Times New Roman"/>
          <w:b w:val="false"/>
          <w:bCs w:val="false"/>
          <w:iCs/>
          <w:color w:val="000000"/>
          <w:kern w:val="0"/>
          <w:position w:val="0"/>
          <w:sz w:val="24"/>
          <w:sz w:val="24"/>
          <w:szCs w:val="24"/>
          <w:vertAlign w:val="baseline"/>
          <w:lang w:val="et-EE" w:eastAsia="en-US" w:bidi="ar-SA"/>
        </w:rPr>
        <w:t xml:space="preserve">Hankija eesmärgiks on teostada Risti põhikooli hoone (Lõuna 4, Risti) II korruse ruumides ümberehitus-, üldehitus- ja eritöid. </w:t>
      </w:r>
    </w:p>
    <w:p>
      <w:pPr>
        <w:pStyle w:val="Normal"/>
        <w:widowControl w:val="false"/>
        <w:numPr>
          <w:ilvl w:val="1"/>
          <w:numId w:val="2"/>
        </w:numPr>
        <w:spacing w:before="0" w:after="170"/>
        <w:ind w:left="709" w:right="0" w:hanging="737"/>
        <w:jc w:val="both"/>
        <w:rPr>
          <w:rFonts w:ascii="Times New Roman" w:hAnsi="Times New Roman"/>
          <w:sz w:val="24"/>
          <w:szCs w:val="24"/>
        </w:rPr>
      </w:pPr>
      <w:r>
        <w:rPr>
          <w:rFonts w:eastAsia="Calibri" w:cs="Times New Roman" w:ascii="Times New Roman" w:hAnsi="Times New Roman"/>
          <w:b w:val="false"/>
          <w:bCs w:val="false"/>
          <w:iCs/>
          <w:color w:val="000000"/>
          <w:kern w:val="0"/>
          <w:position w:val="0"/>
          <w:sz w:val="24"/>
          <w:sz w:val="24"/>
          <w:szCs w:val="24"/>
          <w:vertAlign w:val="baseline"/>
          <w:lang w:val="et-EE" w:eastAsia="en-US" w:bidi="ar-SA"/>
        </w:rPr>
        <w:t>Töövõtu käigus teostatakse osaline Risti Põhikooli ruumiprogrammi muutmine. Tööd puudutavad ruume nr 201 (õpetajate tuba), 221 (puhkeruum) ja 202 (klass). Vajadusel tuleb viimistlustöid teha koridoris (ruum nr 214).</w:t>
      </w:r>
    </w:p>
    <w:p>
      <w:pPr>
        <w:pStyle w:val="Normal"/>
        <w:numPr>
          <w:ilvl w:val="0"/>
          <w:numId w:val="2"/>
        </w:numPr>
        <w:tabs>
          <w:tab w:val="clear" w:pos="720"/>
          <w:tab w:val="left" w:pos="5760" w:leader="none"/>
        </w:tabs>
        <w:spacing w:lineRule="auto" w:line="240"/>
        <w:jc w:val="both"/>
        <w:rPr>
          <w:rFonts w:ascii="Times New Roman" w:hAnsi="Times New Roman"/>
          <w:lang w:val="et-EE" w:bidi="ar-SA"/>
        </w:rPr>
      </w:pPr>
      <w:r>
        <w:rPr>
          <w:rFonts w:eastAsia="Calibri" w:cs="Times New Roman" w:ascii="Times New Roman" w:hAnsi="Times New Roman"/>
          <w:b w:val="false"/>
          <w:bCs w:val="false"/>
          <w:iCs/>
          <w:color w:val="000000"/>
          <w:kern w:val="0"/>
          <w:position w:val="0"/>
          <w:sz w:val="24"/>
          <w:sz w:val="24"/>
          <w:szCs w:val="24"/>
          <w:vertAlign w:val="baseline"/>
          <w:lang w:val="et-EE" w:eastAsia="en-US" w:bidi="ar-SA"/>
        </w:rPr>
        <w:t>Tööde käigus muudetakse ruumide suurust ja funktsioone. Olemasolevat õpetajate tuba laiendatakse puhkeruumi arvelt ja sinna kavandatakse õppeklass. Olemasolev õppeklass jagatakse vaheseinaga kaheks eraldi ruumiks, millest suuremasse planeeritakse õpetajate tuba ja väiksemasse kooli juhtkonna töökabinet.</w:t>
      </w:r>
    </w:p>
    <w:p>
      <w:pPr>
        <w:pStyle w:val="Normal"/>
        <w:widowControl w:val="false"/>
        <w:numPr>
          <w:ilvl w:val="1"/>
          <w:numId w:val="2"/>
        </w:numPr>
        <w:spacing w:before="0" w:after="170"/>
        <w:ind w:left="709" w:right="0" w:hanging="737"/>
        <w:jc w:val="both"/>
        <w:rPr>
          <w:rFonts w:ascii="Times New Roman" w:hAnsi="Times New Roman"/>
          <w:sz w:val="24"/>
          <w:szCs w:val="24"/>
        </w:rPr>
      </w:pPr>
      <w:r>
        <w:rPr>
          <w:rFonts w:eastAsia="Calibri" w:cs="Times New Roman" w:ascii="Times New Roman" w:hAnsi="Times New Roman"/>
          <w:b w:val="false"/>
          <w:bCs w:val="false"/>
          <w:iCs/>
          <w:color w:val="000000"/>
          <w:kern w:val="0"/>
          <w:position w:val="0"/>
          <w:sz w:val="24"/>
          <w:sz w:val="24"/>
          <w:szCs w:val="24"/>
          <w:vertAlign w:val="baseline"/>
          <w:lang w:val="et-EE" w:eastAsia="en-US" w:bidi="ar-SA"/>
        </w:rPr>
        <w:t>Tööde käigus lammutatakse kergblokist ja kuivkrohvplaadist vaheseinu, rajatakse uusi vaheseinu, teostatakse ruumide sisepindade viimistlustööd, paigaldatakse siseuksed ning teostatakse kaasnevad eritööd (elekter, nõrkvool, vesi ja kanalisatsioon).</w:t>
      </w:r>
    </w:p>
    <w:p>
      <w:pPr>
        <w:pStyle w:val="Normal"/>
        <w:widowControl w:val="false"/>
        <w:numPr>
          <w:ilvl w:val="1"/>
          <w:numId w:val="2"/>
        </w:numPr>
        <w:spacing w:before="0" w:after="170"/>
        <w:ind w:left="709" w:right="0" w:hanging="737"/>
        <w:jc w:val="both"/>
        <w:rPr>
          <w:rFonts w:ascii="Times New Roman" w:hAnsi="Times New Roman"/>
          <w:sz w:val="24"/>
          <w:szCs w:val="24"/>
        </w:rPr>
      </w:pPr>
      <w:r>
        <w:rPr>
          <w:rFonts w:eastAsia="Calibri" w:cs="Times New Roman" w:ascii="Times New Roman" w:hAnsi="Times New Roman"/>
          <w:b w:val="false"/>
          <w:bCs w:val="false"/>
          <w:iCs/>
          <w:color w:val="000000"/>
          <w:kern w:val="0"/>
          <w:position w:val="0"/>
          <w:sz w:val="24"/>
          <w:sz w:val="24"/>
          <w:szCs w:val="24"/>
          <w:vertAlign w:val="baseline"/>
          <w:lang w:val="et-EE" w:eastAsia="en-US" w:bidi="ar-SA"/>
        </w:rPr>
        <w:t>Tööde maht ja kirjeldus on toodud tehnilises kirjelduses ja lisades.</w:t>
      </w:r>
    </w:p>
    <w:p>
      <w:pPr>
        <w:pStyle w:val="Normal"/>
        <w:widowControl w:val="false"/>
        <w:numPr>
          <w:ilvl w:val="0"/>
          <w:numId w:val="0"/>
        </w:numPr>
        <w:spacing w:before="0" w:after="170"/>
        <w:ind w:left="0" w:right="0" w:hanging="0"/>
        <w:jc w:val="both"/>
        <w:rPr>
          <w:rFonts w:ascii="Times New Roman" w:hAnsi="Times New Roman" w:eastAsia="Calibri" w:cs="Times New Roman"/>
          <w:b w:val="false"/>
          <w:b w:val="false"/>
          <w:bCs w:val="false"/>
          <w:iCs/>
          <w:color w:val="000000"/>
          <w:kern w:val="0"/>
          <w:position w:val="0"/>
          <w:sz w:val="24"/>
          <w:sz w:val="24"/>
          <w:szCs w:val="24"/>
          <w:vertAlign w:val="baseline"/>
          <w:lang w:val="et-EE" w:eastAsia="en-US" w:bidi="ar-SA"/>
        </w:rPr>
      </w:pPr>
      <w:r>
        <w:rPr>
          <w:rFonts w:eastAsia="Calibri" w:cs="Times New Roman" w:ascii="Times New Roman" w:hAnsi="Times New Roman"/>
          <w:b w:val="false"/>
          <w:bCs w:val="false"/>
          <w:iCs/>
          <w:color w:val="000000"/>
          <w:kern w:val="0"/>
          <w:position w:val="0"/>
          <w:sz w:val="24"/>
          <w:sz w:val="24"/>
          <w:szCs w:val="24"/>
          <w:vertAlign w:val="baseline"/>
          <w:lang w:val="et-EE" w:eastAsia="en-US" w:bidi="ar-SA"/>
        </w:rPr>
      </w:r>
    </w:p>
    <w:p>
      <w:pPr>
        <w:pStyle w:val="Normal"/>
        <w:widowControl w:val="false"/>
        <w:numPr>
          <w:ilvl w:val="0"/>
          <w:numId w:val="2"/>
        </w:numPr>
        <w:spacing w:before="0" w:after="170"/>
        <w:ind w:left="709" w:right="0" w:hanging="737"/>
        <w:jc w:val="both"/>
        <w:rPr>
          <w:rFonts w:ascii="Times New Roman" w:hAnsi="Times New Roman"/>
          <w:sz w:val="24"/>
          <w:szCs w:val="24"/>
        </w:rPr>
      </w:pPr>
      <w:r>
        <w:rPr>
          <w:rFonts w:eastAsia="Calibri" w:cs="Times New Roman" w:ascii="Times New Roman" w:hAnsi="Times New Roman"/>
          <w:b/>
          <w:bCs/>
          <w:iCs/>
          <w:color w:val="3465A4"/>
          <w:kern w:val="0"/>
          <w:position w:val="0"/>
          <w:sz w:val="24"/>
          <w:sz w:val="24"/>
          <w:szCs w:val="24"/>
          <w:vertAlign w:val="baseline"/>
          <w:lang w:val="et-EE" w:eastAsia="en-US" w:bidi="ar-SA"/>
        </w:rPr>
        <w:t>ÜLDNÕUDED</w:t>
      </w:r>
    </w:p>
    <w:p>
      <w:pPr>
        <w:pStyle w:val="Normal"/>
        <w:widowControl w:val="false"/>
        <w:numPr>
          <w:ilvl w:val="1"/>
          <w:numId w:val="2"/>
        </w:numPr>
        <w:spacing w:before="0" w:after="170"/>
        <w:ind w:left="709" w:right="0" w:hanging="737"/>
        <w:jc w:val="both"/>
        <w:rPr>
          <w:b w:val="false"/>
          <w:b w:val="false"/>
          <w:bCs w:val="false"/>
          <w:color w:val="auto"/>
        </w:rPr>
      </w:pPr>
      <w:r>
        <w:rPr>
          <w:rFonts w:eastAsia="Calibri" w:cs="Times New Roman" w:ascii="Times New Roman" w:hAnsi="Times New Roman"/>
          <w:b w:val="false"/>
          <w:bCs w:val="false"/>
          <w:iCs/>
          <w:color w:val="auto"/>
          <w:kern w:val="0"/>
          <w:position w:val="0"/>
          <w:sz w:val="24"/>
          <w:sz w:val="24"/>
          <w:szCs w:val="24"/>
          <w:vertAlign w:val="baseline"/>
          <w:lang w:val="et-EE" w:eastAsia="en-US" w:bidi="ar-SA"/>
        </w:rPr>
        <w:t>Hanke alusdokumentides kavandatud tööd teostatakse täisvastutusega peatöövõtu meetodil. Vastutus kogu ehitusplatsil toimuva tegevuse ja ohutuse üle lasub Töövõtjal. Ehitusplatsi valve kindlustab Töövõtja ja vastutab ehitusplatsil väärtuste säilimise eest kuni objekti lõpliku üleandmiseni Hankijale. Sealhulgas vastutab Töövõtja:</w:t>
      </w:r>
    </w:p>
    <w:p>
      <w:pPr>
        <w:pStyle w:val="Normal"/>
        <w:widowControl w:val="false"/>
        <w:numPr>
          <w:ilvl w:val="2"/>
          <w:numId w:val="2"/>
        </w:numPr>
        <w:spacing w:before="0" w:after="170"/>
        <w:ind w:left="709" w:right="0" w:hanging="737"/>
        <w:jc w:val="both"/>
        <w:rPr>
          <w:b w:val="false"/>
          <w:b w:val="false"/>
          <w:bCs w:val="false"/>
          <w:color w:val="auto"/>
        </w:rPr>
      </w:pPr>
      <w:r>
        <w:rPr>
          <w:rFonts w:eastAsia="Calibri" w:cs="Times New Roman" w:ascii="Times New Roman" w:hAnsi="Times New Roman"/>
          <w:b w:val="false"/>
          <w:bCs w:val="false"/>
          <w:iCs/>
          <w:color w:val="auto"/>
          <w:kern w:val="0"/>
          <w:position w:val="0"/>
          <w:sz w:val="24"/>
          <w:sz w:val="24"/>
          <w:szCs w:val="24"/>
          <w:vertAlign w:val="baseline"/>
          <w:lang w:val="et-EE" w:eastAsia="en-US" w:bidi="ar-SA"/>
        </w:rPr>
        <w:t>ehitusobjektil olemasoleva Hankija vara (sh olemasolevad hooned, rajatised ja taristu) säilimise eest;</w:t>
      </w:r>
    </w:p>
    <w:p>
      <w:pPr>
        <w:pStyle w:val="Normal"/>
        <w:widowControl w:val="false"/>
        <w:numPr>
          <w:ilvl w:val="2"/>
          <w:numId w:val="2"/>
        </w:numPr>
        <w:spacing w:before="0" w:after="170"/>
        <w:ind w:left="709" w:right="0" w:hanging="737"/>
        <w:jc w:val="both"/>
        <w:rPr>
          <w:b w:val="false"/>
          <w:b w:val="false"/>
          <w:bCs w:val="false"/>
          <w:color w:val="auto"/>
        </w:rPr>
      </w:pPr>
      <w:r>
        <w:rPr>
          <w:rFonts w:eastAsia="Calibri" w:cs="Times New Roman" w:ascii="Times New Roman" w:hAnsi="Times New Roman"/>
          <w:b w:val="false"/>
          <w:bCs w:val="false"/>
          <w:iCs/>
          <w:color w:val="auto"/>
          <w:kern w:val="0"/>
          <w:position w:val="0"/>
          <w:sz w:val="24"/>
          <w:sz w:val="24"/>
          <w:szCs w:val="24"/>
          <w:vertAlign w:val="baseline"/>
          <w:lang w:val="et-EE" w:eastAsia="en-US" w:bidi="ar-SA"/>
        </w:rPr>
        <w:t>töökaitse, ohutuse ja tuleohutusnõuete korraldamise ja täitmise eest ehitusobjektil;</w:t>
      </w:r>
    </w:p>
    <w:p>
      <w:pPr>
        <w:pStyle w:val="Normal"/>
        <w:widowControl w:val="false"/>
        <w:numPr>
          <w:ilvl w:val="2"/>
          <w:numId w:val="2"/>
        </w:numPr>
        <w:spacing w:before="0" w:after="170"/>
        <w:ind w:left="709" w:right="0" w:hanging="737"/>
        <w:jc w:val="both"/>
        <w:rPr>
          <w:b w:val="false"/>
          <w:b w:val="false"/>
          <w:bCs w:val="false"/>
          <w:color w:val="auto"/>
        </w:rPr>
      </w:pPr>
      <w:r>
        <w:rPr>
          <w:rFonts w:eastAsia="Calibri" w:cs="Times New Roman" w:ascii="Times New Roman" w:hAnsi="Times New Roman"/>
          <w:b w:val="false"/>
          <w:bCs w:val="false"/>
          <w:iCs/>
          <w:color w:val="auto"/>
          <w:kern w:val="0"/>
          <w:position w:val="0"/>
          <w:sz w:val="24"/>
          <w:sz w:val="24"/>
          <w:szCs w:val="24"/>
          <w:vertAlign w:val="baseline"/>
          <w:lang w:val="et-EE" w:eastAsia="en-US" w:bidi="ar-SA"/>
        </w:rPr>
        <w:t>enda või alltöövõtjate süülise tegevusega (tegevusetusega) põhjustatud kahjude eest kolmandate isikute suhtes;</w:t>
      </w:r>
    </w:p>
    <w:p>
      <w:pPr>
        <w:pStyle w:val="Normal"/>
        <w:widowControl w:val="false"/>
        <w:numPr>
          <w:ilvl w:val="2"/>
          <w:numId w:val="2"/>
        </w:numPr>
        <w:spacing w:before="0" w:after="170"/>
        <w:ind w:left="709" w:right="0" w:hanging="737"/>
        <w:jc w:val="both"/>
        <w:rPr>
          <w:b w:val="false"/>
          <w:b w:val="false"/>
          <w:bCs w:val="false"/>
          <w:color w:val="auto"/>
        </w:rPr>
      </w:pPr>
      <w:r>
        <w:rPr>
          <w:rFonts w:eastAsia="Calibri" w:cs="Times New Roman" w:ascii="Times New Roman" w:hAnsi="Times New Roman"/>
          <w:b w:val="false"/>
          <w:bCs w:val="false"/>
          <w:iCs/>
          <w:color w:val="auto"/>
          <w:kern w:val="0"/>
          <w:position w:val="0"/>
          <w:sz w:val="24"/>
          <w:sz w:val="24"/>
          <w:szCs w:val="24"/>
          <w:vertAlign w:val="baseline"/>
          <w:lang w:val="et-EE" w:eastAsia="en-US" w:bidi="ar-SA"/>
        </w:rPr>
        <w:t>alltöövõtjate poolt tehtud töö, tööde kvaliteedi ja muude tegevuste eest sooritava töö raames.</w:t>
      </w:r>
    </w:p>
    <w:p>
      <w:pPr>
        <w:pStyle w:val="Normal"/>
        <w:widowControl w:val="false"/>
        <w:numPr>
          <w:ilvl w:val="1"/>
          <w:numId w:val="2"/>
        </w:numPr>
        <w:spacing w:before="0" w:after="170"/>
        <w:ind w:left="709" w:right="0" w:hanging="737"/>
        <w:jc w:val="both"/>
        <w:rPr>
          <w:b w:val="false"/>
          <w:b w:val="false"/>
          <w:bCs w:val="false"/>
          <w:color w:val="auto"/>
        </w:rPr>
      </w:pPr>
      <w:r>
        <w:rPr>
          <w:rFonts w:eastAsia="Calibri" w:cs="Times New Roman" w:ascii="Times New Roman" w:hAnsi="Times New Roman"/>
          <w:b w:val="false"/>
          <w:bCs w:val="false"/>
          <w:iCs/>
          <w:color w:val="auto"/>
          <w:kern w:val="0"/>
          <w:position w:val="0"/>
          <w:sz w:val="24"/>
          <w:sz w:val="24"/>
          <w:szCs w:val="24"/>
          <w:vertAlign w:val="baseline"/>
          <w:lang w:val="et-EE" w:eastAsia="en-US" w:bidi="ar-SA"/>
        </w:rPr>
        <w:t xml:space="preserve"> </w:t>
      </w:r>
      <w:r>
        <w:rPr>
          <w:rFonts w:eastAsia="Calibri" w:cs="Times New Roman" w:ascii="Times New Roman" w:hAnsi="Times New Roman"/>
          <w:b w:val="false"/>
          <w:bCs w:val="false"/>
          <w:iCs/>
          <w:color w:val="auto"/>
          <w:kern w:val="0"/>
          <w:position w:val="0"/>
          <w:sz w:val="24"/>
          <w:sz w:val="24"/>
          <w:szCs w:val="24"/>
          <w:vertAlign w:val="baseline"/>
          <w:lang w:val="et-EE" w:eastAsia="en-US" w:bidi="ar-SA"/>
        </w:rPr>
        <w:t>Töövõtja peab arvestama tööde planeerimisel, et tellija ei katkesta asutuse igapäevast tööd, mistõttu tuleb tööde ajagraafikus lähtuda asutuse töökavast ja vajadusel teha töös katkestusi.</w:t>
      </w:r>
    </w:p>
    <w:p>
      <w:pPr>
        <w:pStyle w:val="Normal"/>
        <w:widowControl w:val="false"/>
        <w:numPr>
          <w:ilvl w:val="1"/>
          <w:numId w:val="2"/>
        </w:numPr>
        <w:spacing w:before="0" w:after="170"/>
        <w:ind w:left="709" w:right="0" w:hanging="737"/>
        <w:jc w:val="both"/>
        <w:rPr>
          <w:b w:val="false"/>
          <w:b w:val="false"/>
          <w:bCs w:val="false"/>
          <w:color w:val="auto"/>
        </w:rPr>
      </w:pPr>
      <w:r>
        <w:rPr>
          <w:rFonts w:eastAsia="Calibri" w:cs="Times New Roman" w:ascii="Times New Roman" w:hAnsi="Times New Roman"/>
          <w:b w:val="false"/>
          <w:bCs w:val="false"/>
          <w:iCs/>
          <w:color w:val="auto"/>
          <w:kern w:val="0"/>
          <w:position w:val="0"/>
          <w:sz w:val="24"/>
          <w:sz w:val="24"/>
          <w:szCs w:val="24"/>
          <w:vertAlign w:val="baseline"/>
          <w:lang w:val="et-EE" w:eastAsia="en-US" w:bidi="ar-SA"/>
        </w:rPr>
        <w:t xml:space="preserve">Hankija eeldab, et Pakkuja tutvub enne pakkumuse esitamist objektiga kohapeal ning vajadusel täpsustab hanke mahtusid hankemenetluse käigus. Pakkuja peab enne tellimuse täitmist veenduma mahtude vastavuses tegelikkusega. </w:t>
      </w:r>
    </w:p>
    <w:p>
      <w:pPr>
        <w:pStyle w:val="Normal"/>
        <w:widowControl w:val="false"/>
        <w:numPr>
          <w:ilvl w:val="1"/>
          <w:numId w:val="2"/>
        </w:numPr>
        <w:spacing w:before="0" w:after="170"/>
        <w:ind w:left="709" w:right="0" w:hanging="737"/>
        <w:jc w:val="both"/>
        <w:rPr>
          <w:b w:val="false"/>
          <w:b w:val="false"/>
          <w:bCs w:val="false"/>
          <w:color w:val="auto"/>
        </w:rPr>
      </w:pPr>
      <w:r>
        <w:rPr>
          <w:rFonts w:eastAsia="Calibri" w:cs="Times New Roman" w:ascii="Times New Roman" w:hAnsi="Times New Roman"/>
          <w:b w:val="false"/>
          <w:bCs w:val="false"/>
          <w:iCs/>
          <w:color w:val="auto"/>
          <w:kern w:val="0"/>
          <w:position w:val="0"/>
          <w:sz w:val="24"/>
          <w:sz w:val="24"/>
          <w:szCs w:val="24"/>
          <w:vertAlign w:val="baseline"/>
          <w:lang w:val="et-EE" w:eastAsia="en-US" w:bidi="ar-SA"/>
        </w:rPr>
        <w:t>Tehnilise normina võtta aluseks juhend “Tehnilised nõuded mitteeluhoonetele” (versioon 2021), kättesaadav veebiaadressil https://nouded.rkas.ee/ (edaspidi Tehniline Juhend), samuti kehtivad standardid ja tehnilised normid.</w:t>
      </w:r>
    </w:p>
    <w:p>
      <w:pPr>
        <w:pStyle w:val="Normal"/>
        <w:widowControl w:val="false"/>
        <w:numPr>
          <w:ilvl w:val="1"/>
          <w:numId w:val="2"/>
        </w:numPr>
        <w:spacing w:before="0" w:after="170"/>
        <w:ind w:left="709" w:right="0" w:hanging="737"/>
        <w:jc w:val="both"/>
        <w:rPr>
          <w:b w:val="false"/>
          <w:b w:val="false"/>
          <w:bCs w:val="false"/>
          <w:color w:val="auto"/>
        </w:rPr>
      </w:pPr>
      <w:r>
        <w:rPr>
          <w:rFonts w:eastAsia="Calibri" w:cs="Times New Roman" w:ascii="Times New Roman" w:hAnsi="Times New Roman"/>
          <w:b w:val="false"/>
          <w:bCs w:val="false"/>
          <w:iCs/>
          <w:color w:val="auto"/>
          <w:kern w:val="0"/>
          <w:position w:val="0"/>
          <w:sz w:val="24"/>
          <w:sz w:val="24"/>
          <w:szCs w:val="24"/>
          <w:vertAlign w:val="baseline"/>
          <w:lang w:val="et-EE" w:eastAsia="en-US" w:bidi="ar-SA"/>
        </w:rPr>
        <w:t>Tehniline Juhend täiendab ehitusprojektis(kirjelduses) esitatud nõudeid. Juhul kui ehitusprojektis ei ole sätestatud teisiti, tuleb lähtuda juhendis kehtestatud nõuetest.</w:t>
      </w:r>
    </w:p>
    <w:p>
      <w:pPr>
        <w:pStyle w:val="Normal"/>
        <w:widowControl w:val="false"/>
        <w:numPr>
          <w:ilvl w:val="1"/>
          <w:numId w:val="2"/>
        </w:numPr>
        <w:spacing w:before="0" w:after="170"/>
        <w:ind w:left="709" w:right="0" w:hanging="737"/>
        <w:jc w:val="both"/>
        <w:rPr>
          <w:b w:val="false"/>
          <w:b w:val="false"/>
          <w:bCs w:val="false"/>
          <w:color w:val="auto"/>
        </w:rPr>
      </w:pPr>
      <w:r>
        <w:rPr>
          <w:rFonts w:eastAsia="Calibri" w:cs="Times New Roman" w:ascii="Times New Roman" w:hAnsi="Times New Roman"/>
          <w:b w:val="false"/>
          <w:bCs w:val="false"/>
          <w:iCs/>
          <w:color w:val="auto"/>
          <w:kern w:val="0"/>
          <w:position w:val="0"/>
          <w:sz w:val="24"/>
          <w:sz w:val="24"/>
          <w:szCs w:val="24"/>
          <w:vertAlign w:val="baseline"/>
          <w:lang w:val="et-EE" w:eastAsia="en-US" w:bidi="ar-SA"/>
        </w:rPr>
        <w:t>Juhul kui alusdokumentide osade vahel on vastuolu(sid) või võimaldavad mitmesugust tõlgendust, tuleb hanke käigus esitada Hankijale küsimused selgituste saamiseks. Juhul kui Pakkuja ei esita vastuolude kohta küsimusi, on Hankijal õigus Töövõtu käigus valida Hankija jaoks sobivam tõlgendus. Pärast pakkumuse esitamist ei rahulda Hankija ühtegi Pakkuja ettenägematutele asjaoludele, mitteinformeeritusele, teisiti tõlgendamisele või muule ettekäändele tuginevat pretensiooni või lisanõuet, s.h. rahalist nõuet.</w:t>
      </w:r>
    </w:p>
    <w:p>
      <w:pPr>
        <w:pStyle w:val="Normal"/>
        <w:widowControl w:val="false"/>
        <w:numPr>
          <w:ilvl w:val="1"/>
          <w:numId w:val="2"/>
        </w:numPr>
        <w:spacing w:before="0" w:after="170"/>
        <w:ind w:left="709" w:right="0" w:hanging="737"/>
        <w:jc w:val="both"/>
        <w:rPr>
          <w:b w:val="false"/>
          <w:b w:val="false"/>
          <w:bCs w:val="false"/>
          <w:color w:val="auto"/>
        </w:rPr>
      </w:pPr>
      <w:r>
        <w:rPr>
          <w:rFonts w:eastAsia="Calibri" w:cs="Times New Roman" w:ascii="Times New Roman" w:hAnsi="Times New Roman"/>
          <w:b w:val="false"/>
          <w:bCs w:val="false"/>
          <w:iCs/>
          <w:color w:val="auto"/>
          <w:kern w:val="0"/>
          <w:position w:val="0"/>
          <w:sz w:val="24"/>
          <w:sz w:val="24"/>
          <w:szCs w:val="24"/>
          <w:vertAlign w:val="baseline"/>
          <w:lang w:val="et-EE" w:eastAsia="en-US" w:bidi="ar-SA"/>
        </w:rPr>
        <w:t>Juhul, kui esinevad vastuolud sama prioriteetsuse astmega dokumentide vahel, lähtutakse dokumendist, milles on sätestatud rangem nõue.</w:t>
      </w:r>
    </w:p>
    <w:p>
      <w:pPr>
        <w:pStyle w:val="Normal"/>
        <w:widowControl w:val="false"/>
        <w:numPr>
          <w:ilvl w:val="1"/>
          <w:numId w:val="2"/>
        </w:numPr>
        <w:spacing w:before="0" w:after="170"/>
        <w:ind w:left="709" w:right="0" w:hanging="737"/>
        <w:jc w:val="both"/>
        <w:rPr>
          <w:b w:val="false"/>
          <w:b w:val="false"/>
          <w:bCs w:val="false"/>
          <w:color w:val="auto"/>
        </w:rPr>
      </w:pPr>
      <w:r>
        <w:rPr>
          <w:rFonts w:eastAsia="Calibri" w:cs="Times New Roman" w:ascii="Times New Roman" w:hAnsi="Times New Roman"/>
          <w:b w:val="false"/>
          <w:bCs w:val="false"/>
          <w:iCs/>
          <w:color w:val="auto"/>
          <w:kern w:val="0"/>
          <w:position w:val="0"/>
          <w:sz w:val="24"/>
          <w:sz w:val="24"/>
          <w:szCs w:val="24"/>
          <w:vertAlign w:val="baseline"/>
          <w:lang w:val="et-EE" w:eastAsia="en-US" w:bidi="ar-SA"/>
        </w:rPr>
        <w:t xml:space="preserve"> </w:t>
      </w:r>
      <w:r>
        <w:rPr>
          <w:rFonts w:eastAsia="Calibri" w:cs="Times New Roman" w:ascii="Times New Roman" w:hAnsi="Times New Roman"/>
          <w:b w:val="false"/>
          <w:bCs w:val="false"/>
          <w:iCs/>
          <w:color w:val="auto"/>
          <w:kern w:val="0"/>
          <w:position w:val="0"/>
          <w:sz w:val="24"/>
          <w:sz w:val="24"/>
          <w:szCs w:val="24"/>
          <w:vertAlign w:val="baseline"/>
          <w:lang w:val="et-EE" w:eastAsia="en-US" w:bidi="ar-SA"/>
        </w:rPr>
        <w:t xml:space="preserve">Tööde teostamisel tuleb lähtuda hanke alusdokumentidest kui tervikust. </w:t>
      </w:r>
    </w:p>
    <w:p>
      <w:pPr>
        <w:pStyle w:val="Normal"/>
        <w:widowControl w:val="false"/>
        <w:numPr>
          <w:ilvl w:val="1"/>
          <w:numId w:val="2"/>
        </w:numPr>
        <w:spacing w:before="0" w:after="170"/>
        <w:ind w:left="709" w:right="0" w:hanging="737"/>
        <w:jc w:val="both"/>
        <w:rPr>
          <w:b w:val="false"/>
          <w:b w:val="false"/>
          <w:bCs w:val="false"/>
          <w:color w:val="auto"/>
        </w:rPr>
      </w:pPr>
      <w:r>
        <w:rPr>
          <w:rFonts w:eastAsia="Calibri" w:cs="Times New Roman" w:ascii="Times New Roman" w:hAnsi="Times New Roman"/>
          <w:b w:val="false"/>
          <w:bCs w:val="false"/>
          <w:iCs/>
          <w:color w:val="auto"/>
          <w:kern w:val="0"/>
          <w:position w:val="0"/>
          <w:sz w:val="24"/>
          <w:sz w:val="24"/>
          <w:szCs w:val="24"/>
          <w:vertAlign w:val="baseline"/>
          <w:lang w:val="et-EE" w:eastAsia="en-US" w:bidi="ar-SA"/>
        </w:rPr>
        <w:t xml:space="preserve">Tööde teostamisel tuleb järgida kõiki kehtivaid õigusakte ja head ehitustava, standardeid, tehnilisi norme ja kvaliteedinõudeid. Sealhulgas nõudeid ja juhiseid, mis on sätestatud  ET ja RT kartoteekides, RYL kõikides osades ja lisades (sh RIL, LVI ). </w:t>
      </w:r>
    </w:p>
    <w:p>
      <w:pPr>
        <w:pStyle w:val="Normal"/>
        <w:widowControl w:val="false"/>
        <w:numPr>
          <w:ilvl w:val="1"/>
          <w:numId w:val="2"/>
        </w:numPr>
        <w:spacing w:before="0" w:after="170"/>
        <w:ind w:left="709" w:right="0" w:hanging="737"/>
        <w:jc w:val="both"/>
        <w:rPr>
          <w:b w:val="false"/>
          <w:b w:val="false"/>
          <w:bCs w:val="false"/>
          <w:color w:val="auto"/>
        </w:rPr>
      </w:pPr>
      <w:r>
        <w:rPr>
          <w:rFonts w:eastAsia="Calibri" w:cs="Times New Roman" w:ascii="Times New Roman" w:hAnsi="Times New Roman"/>
          <w:b w:val="false"/>
          <w:bCs w:val="false"/>
          <w:iCs/>
          <w:color w:val="auto"/>
          <w:kern w:val="0"/>
          <w:position w:val="0"/>
          <w:sz w:val="24"/>
          <w:sz w:val="24"/>
          <w:szCs w:val="24"/>
          <w:vertAlign w:val="baseline"/>
          <w:lang w:val="et-EE" w:eastAsia="en-US" w:bidi="ar-SA"/>
        </w:rPr>
        <w:t>Juhul kui ehitusprojektis ei ole sätestatud teisiti, siis tuleb järgida RYL klass II nõudeid.</w:t>
      </w:r>
    </w:p>
    <w:p>
      <w:pPr>
        <w:pStyle w:val="Normal"/>
        <w:widowControl w:val="false"/>
        <w:numPr>
          <w:ilvl w:val="1"/>
          <w:numId w:val="2"/>
        </w:numPr>
        <w:spacing w:before="0" w:after="170"/>
        <w:ind w:left="709" w:right="0" w:hanging="737"/>
        <w:jc w:val="both"/>
        <w:rPr>
          <w:rFonts w:ascii="Times New Roman" w:hAnsi="Times New Roman"/>
          <w:sz w:val="24"/>
          <w:szCs w:val="24"/>
        </w:rPr>
      </w:pPr>
      <w:r>
        <w:rPr>
          <w:rFonts w:ascii="Times New Roman" w:hAnsi="Times New Roman"/>
          <w:sz w:val="24"/>
          <w:szCs w:val="24"/>
        </w:rPr>
        <w:t>Pakkumuses tuleb arvestada ka nende töödega, mis ei ole dokumentatsioonis otseselt kirjeldatud, kuid on vajalikud teha tulenevalt ehitusobjekti tegelikust olukorrast ja seisundist.</w:t>
      </w:r>
    </w:p>
    <w:p>
      <w:pPr>
        <w:pStyle w:val="Normal"/>
        <w:widowControl w:val="false"/>
        <w:numPr>
          <w:ilvl w:val="1"/>
          <w:numId w:val="2"/>
        </w:numPr>
        <w:spacing w:before="0" w:after="170"/>
        <w:ind w:left="709" w:right="0" w:hanging="737"/>
        <w:jc w:val="both"/>
        <w:rPr>
          <w:rFonts w:ascii="Times New Roman" w:hAnsi="Times New Roman"/>
          <w:sz w:val="24"/>
          <w:szCs w:val="24"/>
        </w:rPr>
      </w:pPr>
      <w:r>
        <w:rPr>
          <w:rFonts w:eastAsia="Calibri" w:cs="Times New Roman" w:ascii="Times New Roman" w:hAnsi="Times New Roman"/>
          <w:iCs/>
          <w:kern w:val="0"/>
          <w:position w:val="0"/>
          <w:sz w:val="24"/>
          <w:sz w:val="24"/>
          <w:szCs w:val="24"/>
          <w:vertAlign w:val="baseline"/>
          <w:lang w:val="et-EE" w:eastAsia="en-US" w:bidi="ar-SA"/>
        </w:rPr>
        <w:t>Juhul kui Tellija soovid ei ole otstarbekad või ei vasta kehtivatele õigusaktidele ja normidele, kohustub Töövõtja andma Tellijale professionaalse selgituse ja hinnangu ning võimalusel leidma lahenduse, mis rahuldaks Tellija soove ega oleks vastuolus kehtivate normide ja õigusaktidega.</w:t>
      </w:r>
    </w:p>
    <w:p>
      <w:pPr>
        <w:pStyle w:val="Normal"/>
        <w:widowControl w:val="false"/>
        <w:numPr>
          <w:ilvl w:val="1"/>
          <w:numId w:val="2"/>
        </w:numPr>
        <w:spacing w:before="0" w:after="170"/>
        <w:ind w:left="709" w:right="0" w:hanging="737"/>
        <w:jc w:val="both"/>
        <w:rPr>
          <w:rFonts w:ascii="Times New Roman" w:hAnsi="Times New Roman"/>
          <w:sz w:val="24"/>
          <w:szCs w:val="24"/>
        </w:rPr>
      </w:pPr>
      <w:r>
        <w:rPr>
          <w:rFonts w:eastAsia="Calibri" w:cs="Times New Roman" w:ascii="Times New Roman" w:hAnsi="Times New Roman"/>
          <w:iCs/>
          <w:kern w:val="0"/>
          <w:position w:val="0"/>
          <w:sz w:val="24"/>
          <w:sz w:val="24"/>
          <w:szCs w:val="24"/>
          <w:vertAlign w:val="baseline"/>
          <w:lang w:val="et-EE" w:eastAsia="en-US" w:bidi="ar-SA"/>
        </w:rPr>
        <w:t>Töövõtja peab tagama Töö tegemisel vajaliku kvalifikatsiooniga ja oskustega tööjõu kasutamise.</w:t>
      </w:r>
    </w:p>
    <w:p>
      <w:pPr>
        <w:pStyle w:val="Normal"/>
        <w:widowControl w:val="false"/>
        <w:numPr>
          <w:ilvl w:val="1"/>
          <w:numId w:val="2"/>
        </w:numPr>
        <w:spacing w:before="0" w:after="170"/>
        <w:ind w:left="709" w:right="0" w:hanging="737"/>
        <w:jc w:val="both"/>
        <w:rPr>
          <w:rFonts w:ascii="Times New Roman" w:hAnsi="Times New Roman"/>
          <w:sz w:val="24"/>
          <w:szCs w:val="24"/>
        </w:rPr>
      </w:pPr>
      <w:r>
        <w:rPr>
          <w:rFonts w:eastAsia="Calibri" w:cs="Times New Roman" w:ascii="Times New Roman" w:hAnsi="Times New Roman"/>
          <w:iCs/>
          <w:kern w:val="0"/>
          <w:position w:val="0"/>
          <w:sz w:val="24"/>
          <w:sz w:val="24"/>
          <w:szCs w:val="24"/>
          <w:vertAlign w:val="baseline"/>
          <w:lang w:val="et-EE" w:eastAsia="en-US" w:bidi="ar-SA"/>
        </w:rPr>
        <w:t>Iga viidet, mis on tehtud RHS § 88 lõikes 2 nimetatud alusele või kui hankedokumentides on nimetatud kindlat ostuallikat, protsessi, standardit, kaubamärki, patenti, tüüpi, päritolu või tootmisviisi, tuleb lugeda, et Hankija on lisanud sellele viitele märke „...............või sellega samaväärne.“</w:t>
      </w:r>
    </w:p>
    <w:p>
      <w:pPr>
        <w:pStyle w:val="Normal"/>
        <w:widowControl w:val="false"/>
        <w:numPr>
          <w:ilvl w:val="0"/>
          <w:numId w:val="0"/>
        </w:numPr>
        <w:spacing w:before="0" w:after="170"/>
        <w:ind w:left="709" w:right="0" w:hanging="0"/>
        <w:jc w:val="both"/>
        <w:rPr>
          <w:rFonts w:ascii="Times New Roman" w:hAnsi="Times New Roman" w:eastAsia="Calibri" w:cs="Times New Roman"/>
          <w:iCs/>
          <w:kern w:val="0"/>
          <w:position w:val="0"/>
          <w:sz w:val="24"/>
          <w:sz w:val="24"/>
          <w:szCs w:val="24"/>
          <w:vertAlign w:val="baseline"/>
          <w:lang w:val="et-EE" w:eastAsia="en-US" w:bidi="ar-SA"/>
        </w:rPr>
      </w:pPr>
      <w:r>
        <w:rPr>
          <w:rFonts w:eastAsia="Calibri" w:cs="Times New Roman" w:ascii="Times New Roman" w:hAnsi="Times New Roman"/>
          <w:iCs/>
          <w:kern w:val="0"/>
          <w:position w:val="0"/>
          <w:sz w:val="24"/>
          <w:sz w:val="24"/>
          <w:szCs w:val="24"/>
          <w:vertAlign w:val="baseline"/>
          <w:lang w:val="et-EE" w:eastAsia="en-US" w:bidi="ar-SA"/>
        </w:rPr>
      </w:r>
    </w:p>
    <w:p>
      <w:pPr>
        <w:pStyle w:val="Normal"/>
        <w:widowControl w:val="false"/>
        <w:numPr>
          <w:ilvl w:val="0"/>
          <w:numId w:val="2"/>
        </w:numPr>
        <w:spacing w:before="0" w:after="170"/>
        <w:ind w:left="709" w:right="0" w:hanging="737"/>
        <w:jc w:val="both"/>
        <w:rPr>
          <w:rFonts w:ascii="Times New Roman" w:hAnsi="Times New Roman"/>
          <w:sz w:val="24"/>
          <w:szCs w:val="24"/>
        </w:rPr>
      </w:pPr>
      <w:r>
        <w:rPr>
          <w:rFonts w:eastAsia="Calibri" w:cs="Times New Roman" w:ascii="Times New Roman" w:hAnsi="Times New Roman"/>
          <w:b/>
          <w:bCs/>
          <w:iCs/>
          <w:color w:val="3465A4"/>
          <w:kern w:val="0"/>
          <w:position w:val="0"/>
          <w:sz w:val="24"/>
          <w:sz w:val="24"/>
          <w:szCs w:val="24"/>
          <w:vertAlign w:val="baseline"/>
          <w:lang w:val="et-EE" w:eastAsia="en-US" w:bidi="ar-SA"/>
        </w:rPr>
        <w:t>TEHNILINE KIRJELDUS</w:t>
      </w:r>
    </w:p>
    <w:p>
      <w:pPr>
        <w:pStyle w:val="Normal"/>
        <w:widowControl w:val="false"/>
        <w:numPr>
          <w:ilvl w:val="1"/>
          <w:numId w:val="2"/>
        </w:numPr>
        <w:spacing w:before="0" w:after="170"/>
        <w:ind w:left="709" w:right="0" w:hanging="737"/>
        <w:jc w:val="both"/>
        <w:rPr>
          <w:rFonts w:ascii="Times New Roman" w:hAnsi="Times New Roman"/>
          <w:sz w:val="24"/>
          <w:szCs w:val="24"/>
        </w:rPr>
      </w:pPr>
      <w:r>
        <w:rPr>
          <w:rFonts w:eastAsia="" w:cs="" w:ascii="Times New Roman" w:hAnsi="Times New Roman" w:cstheme="minorBidi" w:eastAsiaTheme="minorHAnsi"/>
          <w:color w:val="00000A"/>
          <w:kern w:val="0"/>
          <w:sz w:val="24"/>
          <w:szCs w:val="24"/>
          <w:lang w:val="et-EE" w:eastAsia="en-US" w:bidi="ar-SA"/>
        </w:rPr>
        <w:t>Remonditööde käigus tuleb teostada järgmised tööd:</w:t>
      </w:r>
    </w:p>
    <w:p>
      <w:pPr>
        <w:pStyle w:val="Normal"/>
        <w:widowControl w:val="false"/>
        <w:numPr>
          <w:ilvl w:val="2"/>
          <w:numId w:val="2"/>
        </w:numPr>
        <w:spacing w:before="0" w:after="170"/>
        <w:ind w:left="709" w:right="0" w:hanging="737"/>
        <w:jc w:val="both"/>
        <w:rPr>
          <w:rFonts w:ascii="Times New Roman" w:hAnsi="Times New Roman"/>
          <w:sz w:val="24"/>
          <w:szCs w:val="24"/>
        </w:rPr>
      </w:pPr>
      <w:r>
        <w:rPr>
          <w:rFonts w:eastAsia="" w:cs="" w:ascii="Times New Roman" w:hAnsi="Times New Roman" w:cstheme="minorBidi" w:eastAsiaTheme="minorHAnsi"/>
          <w:color w:val="00000A"/>
          <w:kern w:val="0"/>
          <w:sz w:val="24"/>
          <w:szCs w:val="24"/>
          <w:lang w:val="et-EE" w:eastAsia="en-US" w:bidi="ar-SA"/>
        </w:rPr>
        <w:t>Lammutustööd koos jäätmete utiliseerimisega;</w:t>
      </w:r>
    </w:p>
    <w:p>
      <w:pPr>
        <w:pStyle w:val="Normal"/>
        <w:widowControl w:val="false"/>
        <w:numPr>
          <w:ilvl w:val="3"/>
          <w:numId w:val="2"/>
        </w:numPr>
        <w:spacing w:before="0" w:after="170"/>
        <w:ind w:left="709" w:right="0" w:hanging="737"/>
        <w:jc w:val="both"/>
        <w:rPr/>
      </w:pPr>
      <w:r>
        <w:rPr>
          <w:rFonts w:ascii="Times New Roman" w:hAnsi="Times New Roman"/>
          <w:sz w:val="24"/>
          <w:szCs w:val="24"/>
        </w:rPr>
        <w:t>Kergplokist (tuhaplokk) vaheseina lammutamine ja utiliseerimine</w:t>
      </w:r>
    </w:p>
    <w:p>
      <w:pPr>
        <w:pStyle w:val="Normal"/>
        <w:widowControl w:val="false"/>
        <w:numPr>
          <w:ilvl w:val="3"/>
          <w:numId w:val="2"/>
        </w:numPr>
        <w:spacing w:before="0" w:after="170"/>
        <w:ind w:left="709" w:right="0" w:hanging="737"/>
        <w:jc w:val="both"/>
        <w:rPr/>
      </w:pPr>
      <w:r>
        <w:rPr>
          <w:rFonts w:ascii="Times New Roman" w:hAnsi="Times New Roman"/>
          <w:sz w:val="24"/>
          <w:szCs w:val="24"/>
        </w:rPr>
        <w:t>Puhkeruumi ja klassi vahelise seina osaline lammutamine ja utiliseerimine</w:t>
      </w:r>
    </w:p>
    <w:p>
      <w:pPr>
        <w:pStyle w:val="Normal"/>
        <w:widowControl w:val="false"/>
        <w:numPr>
          <w:ilvl w:val="3"/>
          <w:numId w:val="2"/>
        </w:numPr>
        <w:spacing w:before="0" w:after="170"/>
        <w:ind w:left="709" w:right="0" w:hanging="737"/>
        <w:jc w:val="both"/>
        <w:rPr/>
      </w:pPr>
      <w:r>
        <w:rPr>
          <w:rFonts w:ascii="Times New Roman" w:hAnsi="Times New Roman"/>
          <w:sz w:val="24"/>
          <w:szCs w:val="24"/>
        </w:rPr>
        <w:t>Põrandakatete ja põrandaliistude eemaldamine ja utiliseerimine</w:t>
      </w:r>
    </w:p>
    <w:p>
      <w:pPr>
        <w:pStyle w:val="Normal"/>
        <w:widowControl w:val="false"/>
        <w:numPr>
          <w:ilvl w:val="3"/>
          <w:numId w:val="2"/>
        </w:numPr>
        <w:spacing w:before="0" w:after="170"/>
        <w:ind w:left="709" w:right="0" w:hanging="737"/>
        <w:jc w:val="both"/>
        <w:rPr/>
      </w:pPr>
      <w:r>
        <w:rPr>
          <w:rFonts w:ascii="Times New Roman" w:hAnsi="Times New Roman"/>
          <w:sz w:val="24"/>
          <w:szCs w:val="24"/>
        </w:rPr>
        <w:t>Pindpaigaldusega elektripaigaldiste eemaldamine ja utiliseerimine</w:t>
      </w:r>
    </w:p>
    <w:p>
      <w:pPr>
        <w:pStyle w:val="Normal"/>
        <w:widowControl w:val="false"/>
        <w:numPr>
          <w:ilvl w:val="3"/>
          <w:numId w:val="2"/>
        </w:numPr>
        <w:spacing w:before="0" w:after="170"/>
        <w:ind w:left="709" w:right="0" w:hanging="737"/>
        <w:jc w:val="both"/>
        <w:rPr/>
      </w:pPr>
      <w:r>
        <w:rPr>
          <w:rFonts w:ascii="Times New Roman" w:hAnsi="Times New Roman"/>
          <w:sz w:val="24"/>
          <w:szCs w:val="24"/>
        </w:rPr>
        <w:t>Mittevajalike nõrkvoolipaigaldiste eemaldamine ja utiliseerimine</w:t>
      </w:r>
    </w:p>
    <w:p>
      <w:pPr>
        <w:pStyle w:val="Normal"/>
        <w:widowControl w:val="false"/>
        <w:numPr>
          <w:ilvl w:val="3"/>
          <w:numId w:val="2"/>
        </w:numPr>
        <w:spacing w:before="0" w:after="170"/>
        <w:ind w:left="709" w:right="0" w:hanging="737"/>
        <w:jc w:val="both"/>
        <w:rPr/>
      </w:pPr>
      <w:r>
        <w:rPr>
          <w:rFonts w:ascii="Times New Roman" w:hAnsi="Times New Roman"/>
          <w:sz w:val="24"/>
          <w:szCs w:val="24"/>
        </w:rPr>
        <w:t>Koridori seina ukseava lammutamine, utiliseerimine</w:t>
      </w:r>
    </w:p>
    <w:p>
      <w:pPr>
        <w:pStyle w:val="Normal"/>
        <w:widowControl w:val="false"/>
        <w:numPr>
          <w:ilvl w:val="3"/>
          <w:numId w:val="2"/>
        </w:numPr>
        <w:spacing w:before="0" w:after="170"/>
        <w:ind w:left="709" w:right="0" w:hanging="737"/>
        <w:jc w:val="both"/>
        <w:rPr/>
      </w:pPr>
      <w:r>
        <w:rPr>
          <w:rFonts w:ascii="Times New Roman" w:hAnsi="Times New Roman"/>
          <w:sz w:val="24"/>
          <w:szCs w:val="24"/>
        </w:rPr>
        <w:t>Veevarustus ja kanalisatsioon lammutus</w:t>
      </w:r>
    </w:p>
    <w:p>
      <w:pPr>
        <w:pStyle w:val="Normal"/>
        <w:widowControl w:val="false"/>
        <w:numPr>
          <w:ilvl w:val="2"/>
          <w:numId w:val="2"/>
        </w:numPr>
        <w:spacing w:before="0" w:after="170"/>
        <w:ind w:left="709" w:right="0" w:hanging="737"/>
        <w:jc w:val="both"/>
        <w:rPr/>
      </w:pPr>
      <w:r>
        <w:rPr>
          <w:rFonts w:eastAsia="" w:cs="" w:ascii="Times New Roman" w:hAnsi="Times New Roman" w:cstheme="minorBidi" w:eastAsiaTheme="minorHAnsi"/>
          <w:color w:val="00000A"/>
          <w:kern w:val="0"/>
          <w:sz w:val="24"/>
          <w:szCs w:val="24"/>
          <w:lang w:val="et-EE" w:eastAsia="en-US" w:bidi="ar-SA"/>
        </w:rPr>
        <w:t>Üldehitustööd</w:t>
      </w:r>
    </w:p>
    <w:p>
      <w:pPr>
        <w:pStyle w:val="Normal"/>
        <w:widowControl w:val="false"/>
        <w:numPr>
          <w:ilvl w:val="3"/>
          <w:numId w:val="2"/>
        </w:numPr>
        <w:spacing w:before="0" w:after="170"/>
        <w:ind w:left="709" w:right="0" w:hanging="737"/>
        <w:jc w:val="both"/>
        <w:rPr/>
      </w:pPr>
      <w:r>
        <w:rPr>
          <w:rFonts w:ascii="Times New Roman" w:hAnsi="Times New Roman"/>
          <w:sz w:val="22"/>
          <w:szCs w:val="22"/>
        </w:rPr>
        <w:t xml:space="preserve">Vaheseinablokist vaheseina ehitamine ja krohvimine, </w:t>
      </w:r>
    </w:p>
    <w:p>
      <w:pPr>
        <w:pStyle w:val="Normal"/>
        <w:widowControl w:val="false"/>
        <w:numPr>
          <w:ilvl w:val="3"/>
          <w:numId w:val="2"/>
        </w:numPr>
        <w:spacing w:before="0" w:after="170"/>
        <w:ind w:left="709" w:right="0" w:hanging="737"/>
        <w:jc w:val="both"/>
        <w:rPr/>
      </w:pPr>
      <w:r>
        <w:rPr>
          <w:rFonts w:ascii="Times New Roman" w:hAnsi="Times New Roman"/>
          <w:sz w:val="22"/>
          <w:szCs w:val="22"/>
        </w:rPr>
        <w:t>Seinte siseviimistlus</w:t>
      </w:r>
    </w:p>
    <w:p>
      <w:pPr>
        <w:pStyle w:val="Normal"/>
        <w:widowControl w:val="false"/>
        <w:numPr>
          <w:ilvl w:val="3"/>
          <w:numId w:val="2"/>
        </w:numPr>
        <w:spacing w:before="0" w:after="170"/>
        <w:ind w:left="709" w:right="0" w:hanging="737"/>
        <w:jc w:val="both"/>
        <w:rPr/>
      </w:pPr>
      <w:r>
        <w:rPr>
          <w:rFonts w:ascii="Times New Roman" w:hAnsi="Times New Roman"/>
          <w:sz w:val="22"/>
          <w:szCs w:val="22"/>
        </w:rPr>
        <w:t>põrandate tasandamine</w:t>
      </w:r>
    </w:p>
    <w:p>
      <w:pPr>
        <w:pStyle w:val="Normal"/>
        <w:widowControl w:val="false"/>
        <w:numPr>
          <w:ilvl w:val="3"/>
          <w:numId w:val="2"/>
        </w:numPr>
        <w:spacing w:before="0" w:after="170"/>
        <w:ind w:left="709" w:right="0" w:hanging="737"/>
        <w:jc w:val="both"/>
        <w:rPr/>
      </w:pPr>
      <w:r>
        <w:rPr>
          <w:rFonts w:ascii="Times New Roman" w:hAnsi="Times New Roman"/>
          <w:sz w:val="22"/>
          <w:szCs w:val="22"/>
        </w:rPr>
        <w:t>Põrandakatete paigaldus</w:t>
      </w:r>
    </w:p>
    <w:p>
      <w:pPr>
        <w:pStyle w:val="Normal"/>
        <w:widowControl w:val="false"/>
        <w:numPr>
          <w:ilvl w:val="3"/>
          <w:numId w:val="2"/>
        </w:numPr>
        <w:spacing w:before="0" w:after="170"/>
        <w:ind w:left="709" w:right="0" w:hanging="737"/>
        <w:jc w:val="both"/>
        <w:rPr/>
      </w:pPr>
      <w:r>
        <w:rPr>
          <w:rFonts w:ascii="Times New Roman" w:hAnsi="Times New Roman"/>
          <w:sz w:val="22"/>
          <w:szCs w:val="22"/>
        </w:rPr>
        <w:t>Lagede viimistlemine</w:t>
      </w:r>
    </w:p>
    <w:p>
      <w:pPr>
        <w:pStyle w:val="Normal"/>
        <w:widowControl w:val="false"/>
        <w:numPr>
          <w:ilvl w:val="3"/>
          <w:numId w:val="2"/>
        </w:numPr>
        <w:spacing w:before="0" w:after="170"/>
        <w:ind w:left="709" w:right="0" w:hanging="737"/>
        <w:jc w:val="both"/>
        <w:rPr/>
      </w:pPr>
      <w:r>
        <w:rPr>
          <w:rFonts w:ascii="Times New Roman" w:hAnsi="Times New Roman"/>
          <w:sz w:val="22"/>
          <w:szCs w:val="22"/>
        </w:rPr>
        <w:t>Usteavade moodustamine ja vajadusel sillustamine</w:t>
      </w:r>
    </w:p>
    <w:p>
      <w:pPr>
        <w:pStyle w:val="Normal"/>
        <w:widowControl w:val="false"/>
        <w:numPr>
          <w:ilvl w:val="3"/>
          <w:numId w:val="2"/>
        </w:numPr>
        <w:spacing w:before="0" w:after="170"/>
        <w:ind w:left="709" w:right="0" w:hanging="737"/>
        <w:jc w:val="both"/>
        <w:rPr/>
      </w:pPr>
      <w:r>
        <w:rPr>
          <w:rFonts w:ascii="Times New Roman" w:hAnsi="Times New Roman"/>
          <w:sz w:val="22"/>
          <w:szCs w:val="22"/>
        </w:rPr>
        <w:t>Uste paigaldamine koos piida ja liistudega</w:t>
      </w:r>
    </w:p>
    <w:p>
      <w:pPr>
        <w:pStyle w:val="Normal"/>
        <w:widowControl w:val="false"/>
        <w:numPr>
          <w:ilvl w:val="3"/>
          <w:numId w:val="2"/>
        </w:numPr>
        <w:spacing w:before="0" w:after="170"/>
        <w:ind w:left="709" w:right="0" w:hanging="737"/>
        <w:jc w:val="both"/>
        <w:rPr/>
      </w:pPr>
      <w:r>
        <w:rPr>
          <w:rFonts w:ascii="Times New Roman" w:hAnsi="Times New Roman"/>
          <w:sz w:val="22"/>
          <w:szCs w:val="22"/>
        </w:rPr>
        <w:t>Akende ja aknalaudade hooldustööd</w:t>
      </w:r>
    </w:p>
    <w:p>
      <w:pPr>
        <w:pStyle w:val="Normal"/>
        <w:widowControl w:val="false"/>
        <w:numPr>
          <w:ilvl w:val="2"/>
          <w:numId w:val="2"/>
        </w:numPr>
        <w:spacing w:before="0" w:after="170"/>
        <w:ind w:left="709" w:right="0" w:hanging="737"/>
        <w:jc w:val="both"/>
        <w:rPr/>
      </w:pPr>
      <w:r>
        <w:rPr>
          <w:rFonts w:ascii="Times New Roman" w:hAnsi="Times New Roman"/>
          <w:sz w:val="22"/>
          <w:szCs w:val="22"/>
        </w:rPr>
        <w:t>Eriosade tööd</w:t>
      </w:r>
    </w:p>
    <w:p>
      <w:pPr>
        <w:pStyle w:val="Normal"/>
        <w:widowControl w:val="false"/>
        <w:numPr>
          <w:ilvl w:val="3"/>
          <w:numId w:val="2"/>
        </w:numPr>
        <w:spacing w:before="0" w:after="170"/>
        <w:ind w:left="709" w:right="0" w:hanging="737"/>
        <w:jc w:val="both"/>
        <w:rPr/>
      </w:pPr>
      <w:r>
        <w:rPr>
          <w:rFonts w:ascii="Times New Roman" w:hAnsi="Times New Roman"/>
          <w:sz w:val="22"/>
          <w:szCs w:val="22"/>
        </w:rPr>
        <w:t>Elektri tugevvoolupaigaldis</w:t>
      </w:r>
    </w:p>
    <w:p>
      <w:pPr>
        <w:pStyle w:val="Normal"/>
        <w:widowControl w:val="false"/>
        <w:numPr>
          <w:ilvl w:val="3"/>
          <w:numId w:val="2"/>
        </w:numPr>
        <w:spacing w:before="0" w:after="170"/>
        <w:ind w:left="709" w:right="0" w:hanging="737"/>
        <w:jc w:val="both"/>
        <w:rPr/>
      </w:pPr>
      <w:r>
        <w:rPr>
          <w:rFonts w:ascii="Times New Roman" w:hAnsi="Times New Roman"/>
          <w:sz w:val="22"/>
          <w:szCs w:val="22"/>
        </w:rPr>
        <w:t>Valgustus</w:t>
      </w:r>
    </w:p>
    <w:p>
      <w:pPr>
        <w:pStyle w:val="Normal"/>
        <w:widowControl w:val="false"/>
        <w:numPr>
          <w:ilvl w:val="3"/>
          <w:numId w:val="2"/>
        </w:numPr>
        <w:spacing w:before="0" w:after="170"/>
        <w:ind w:left="709" w:right="0" w:hanging="737"/>
        <w:jc w:val="both"/>
        <w:rPr/>
      </w:pPr>
      <w:r>
        <w:rPr>
          <w:rFonts w:ascii="Times New Roman" w:hAnsi="Times New Roman"/>
          <w:sz w:val="22"/>
          <w:szCs w:val="22"/>
        </w:rPr>
        <w:t>Nõrkvoolupaigaldised</w:t>
      </w:r>
    </w:p>
    <w:p>
      <w:pPr>
        <w:pStyle w:val="Normal"/>
        <w:widowControl w:val="false"/>
        <w:numPr>
          <w:ilvl w:val="3"/>
          <w:numId w:val="2"/>
        </w:numPr>
        <w:spacing w:before="0" w:after="170"/>
        <w:ind w:left="709" w:right="0" w:hanging="737"/>
        <w:jc w:val="both"/>
        <w:rPr/>
      </w:pPr>
      <w:r>
        <w:rPr>
          <w:rFonts w:ascii="Times New Roman" w:hAnsi="Times New Roman"/>
          <w:sz w:val="22"/>
          <w:szCs w:val="22"/>
        </w:rPr>
        <w:t>Serverikapi ja kaabelduse ümberpaigutamine</w:t>
      </w:r>
    </w:p>
    <w:p>
      <w:pPr>
        <w:pStyle w:val="Normal"/>
        <w:widowControl w:val="false"/>
        <w:numPr>
          <w:ilvl w:val="3"/>
          <w:numId w:val="2"/>
        </w:numPr>
        <w:spacing w:before="0" w:after="170"/>
        <w:ind w:left="709" w:right="0" w:hanging="737"/>
        <w:jc w:val="both"/>
        <w:rPr/>
      </w:pPr>
      <w:r>
        <w:rPr>
          <w:rFonts w:ascii="Times New Roman" w:hAnsi="Times New Roman"/>
          <w:sz w:val="22"/>
          <w:szCs w:val="22"/>
        </w:rPr>
        <w:t>Veevarustus ja kanalisatsioon</w:t>
      </w:r>
    </w:p>
    <w:p>
      <w:pPr>
        <w:pStyle w:val="Normal"/>
        <w:widowControl w:val="false"/>
        <w:numPr>
          <w:ilvl w:val="3"/>
          <w:numId w:val="2"/>
        </w:numPr>
        <w:spacing w:before="0" w:after="170"/>
        <w:ind w:left="709" w:right="0" w:hanging="737"/>
        <w:jc w:val="both"/>
        <w:rPr/>
      </w:pPr>
      <w:r>
        <w:rPr>
          <w:rFonts w:ascii="Times New Roman" w:hAnsi="Times New Roman"/>
          <w:sz w:val="22"/>
          <w:szCs w:val="22"/>
        </w:rPr>
        <w:t>Ventilatsioon</w:t>
      </w:r>
    </w:p>
    <w:p>
      <w:pPr>
        <w:pStyle w:val="Normal"/>
        <w:widowControl w:val="false"/>
        <w:numPr>
          <w:ilvl w:val="1"/>
          <w:numId w:val="2"/>
        </w:numPr>
        <w:spacing w:before="0" w:after="170"/>
        <w:ind w:left="709" w:right="0" w:hanging="737"/>
        <w:jc w:val="both"/>
        <w:rPr/>
      </w:pPr>
      <w:r>
        <w:rPr>
          <w:rFonts w:eastAsia="" w:cs="" w:ascii="Times New Roman" w:hAnsi="Times New Roman" w:cstheme="minorBidi" w:eastAsiaTheme="minorHAnsi"/>
          <w:b w:val="false"/>
          <w:bCs w:val="false"/>
          <w:color w:val="00000A"/>
          <w:kern w:val="0"/>
          <w:sz w:val="24"/>
          <w:szCs w:val="24"/>
          <w:u w:val="none"/>
          <w:lang w:val="et-EE" w:eastAsia="en-US" w:bidi="ar-SA"/>
        </w:rPr>
        <w:t xml:space="preserve">Täpsem tööde sisu kirjeldus on toodud töömahtude tabelis Lisa 1. </w:t>
      </w:r>
    </w:p>
    <w:p>
      <w:pPr>
        <w:pStyle w:val="Normal"/>
        <w:widowControl w:val="false"/>
        <w:numPr>
          <w:ilvl w:val="1"/>
          <w:numId w:val="2"/>
        </w:numPr>
        <w:spacing w:before="0" w:after="170"/>
        <w:ind w:left="709" w:right="0" w:hanging="737"/>
        <w:jc w:val="both"/>
        <w:rPr/>
      </w:pPr>
      <w:r>
        <w:rPr>
          <w:rFonts w:eastAsia="" w:cs="" w:ascii="Times New Roman" w:hAnsi="Times New Roman" w:cstheme="minorBidi" w:eastAsiaTheme="minorHAnsi"/>
          <w:b w:val="false"/>
          <w:bCs w:val="false"/>
          <w:color w:val="00000A"/>
          <w:kern w:val="0"/>
          <w:sz w:val="24"/>
          <w:szCs w:val="24"/>
          <w:u w:val="none"/>
          <w:lang w:val="et-EE" w:eastAsia="en-US" w:bidi="ar-SA"/>
        </w:rPr>
        <w:t>K</w:t>
      </w:r>
      <w:r>
        <w:rPr>
          <w:rFonts w:ascii="Times New Roman" w:hAnsi="Times New Roman"/>
          <w:sz w:val="24"/>
          <w:szCs w:val="24"/>
          <w:lang w:val="et-EE" w:bidi="ar-SA"/>
        </w:rPr>
        <w:t>õik kasutatavad materjalid peavad vastama Eesti Vabariigis kehtestatud tervisekaitselistele nõuetele.</w:t>
      </w:r>
    </w:p>
    <w:p>
      <w:pPr>
        <w:pStyle w:val="Normal"/>
        <w:widowControl w:val="false"/>
        <w:numPr>
          <w:ilvl w:val="1"/>
          <w:numId w:val="2"/>
        </w:numPr>
        <w:spacing w:before="0" w:after="170"/>
        <w:ind w:left="709" w:right="0" w:hanging="737"/>
        <w:jc w:val="both"/>
        <w:rPr/>
      </w:pPr>
      <w:r>
        <w:rPr>
          <w:rFonts w:ascii="Times New Roman" w:hAnsi="Times New Roman"/>
          <w:sz w:val="24"/>
          <w:szCs w:val="24"/>
        </w:rPr>
        <w:t>Materjalide valikul peab lähtuma nende võimalikult pikast elueast ja lihtsast hooldatavusest.</w:t>
      </w:r>
    </w:p>
    <w:p>
      <w:pPr>
        <w:pStyle w:val="Normal"/>
        <w:widowControl w:val="false"/>
        <w:numPr>
          <w:ilvl w:val="1"/>
          <w:numId w:val="2"/>
        </w:numPr>
        <w:spacing w:before="0" w:after="170"/>
        <w:ind w:left="709" w:right="0" w:hanging="737"/>
        <w:jc w:val="both"/>
        <w:rPr>
          <w:rFonts w:ascii="Times New Roman" w:hAnsi="Times New Roman"/>
          <w:sz w:val="24"/>
          <w:szCs w:val="24"/>
        </w:rPr>
      </w:pPr>
      <w:r>
        <w:rPr>
          <w:rFonts w:eastAsia="" w:cs="" w:ascii="Times New Roman" w:hAnsi="Times New Roman" w:cstheme="minorBidi" w:eastAsiaTheme="minorHAnsi"/>
          <w:color w:val="00000A"/>
          <w:kern w:val="0"/>
          <w:sz w:val="24"/>
          <w:szCs w:val="24"/>
          <w:lang w:val="et-EE" w:eastAsia="en-US" w:bidi="ar-SA"/>
        </w:rPr>
        <w:t xml:space="preserve">Ehituse käigus utiliseerimist </w:t>
      </w:r>
      <w:r>
        <w:rPr>
          <w:rFonts w:ascii="Times New Roman" w:hAnsi="Times New Roman"/>
          <w:sz w:val="24"/>
          <w:szCs w:val="24"/>
        </w:rPr>
        <w:t>vajav ehitusjääk utiliseeritakse Töövõtja kulul ja poolt.</w:t>
      </w:r>
    </w:p>
    <w:p>
      <w:pPr>
        <w:pStyle w:val="Normal"/>
        <w:widowControl w:val="false"/>
        <w:spacing w:before="0" w:after="170"/>
        <w:ind w:left="-28" w:right="0" w:hanging="0"/>
        <w:jc w:val="both"/>
        <w:rPr/>
      </w:pPr>
      <w:r>
        <w:rPr/>
      </w:r>
    </w:p>
    <w:p>
      <w:pPr>
        <w:pStyle w:val="Normal"/>
        <w:widowControl w:val="false"/>
        <w:spacing w:before="0" w:after="170"/>
        <w:ind w:left="-28" w:right="0" w:hanging="0"/>
        <w:jc w:val="both"/>
        <w:rPr/>
      </w:pPr>
      <w:r>
        <w:rPr/>
      </w:r>
    </w:p>
    <w:p>
      <w:pPr>
        <w:pStyle w:val="Normal"/>
        <w:widowControl w:val="false"/>
        <w:numPr>
          <w:ilvl w:val="0"/>
          <w:numId w:val="2"/>
        </w:numPr>
        <w:spacing w:before="0" w:after="170"/>
        <w:ind w:left="709" w:right="0" w:hanging="737"/>
        <w:jc w:val="both"/>
        <w:rPr>
          <w:rFonts w:ascii="Times New Roman" w:hAnsi="Times New Roman"/>
          <w:sz w:val="24"/>
          <w:szCs w:val="24"/>
        </w:rPr>
      </w:pPr>
      <w:r>
        <w:rPr>
          <w:rFonts w:eastAsia="Calibri" w:cs="Times New Roman" w:ascii="Times New Roman" w:hAnsi="Times New Roman"/>
          <w:b/>
          <w:bCs/>
          <w:iCs/>
          <w:color w:val="3465A4"/>
          <w:kern w:val="0"/>
          <w:position w:val="0"/>
          <w:sz w:val="24"/>
          <w:sz w:val="24"/>
          <w:szCs w:val="24"/>
          <w:vertAlign w:val="baseline"/>
          <w:lang w:val="et-EE" w:eastAsia="en-US" w:bidi="ar-SA"/>
        </w:rPr>
        <w:t>TÖÖ ÜLEANDMINE</w:t>
      </w:r>
    </w:p>
    <w:p>
      <w:pPr>
        <w:pStyle w:val="Normal"/>
        <w:widowControl w:val="false"/>
        <w:numPr>
          <w:ilvl w:val="1"/>
          <w:numId w:val="2"/>
        </w:numPr>
        <w:spacing w:before="0" w:after="170"/>
        <w:ind w:left="709" w:right="0" w:hanging="737"/>
        <w:jc w:val="both"/>
        <w:rPr>
          <w:rFonts w:ascii="Times New Roman" w:hAnsi="Times New Roman"/>
          <w:sz w:val="24"/>
          <w:szCs w:val="24"/>
        </w:rPr>
      </w:pPr>
      <w:r>
        <w:rPr>
          <w:rFonts w:eastAsia="" w:cs="" w:ascii="Times New Roman" w:hAnsi="Times New Roman" w:cstheme="minorBidi" w:eastAsiaTheme="minorHAnsi"/>
          <w:color w:val="00000A"/>
          <w:kern w:val="0"/>
          <w:sz w:val="24"/>
          <w:szCs w:val="24"/>
          <w:lang w:val="et-EE" w:eastAsia="en-US" w:bidi="ar-SA"/>
        </w:rPr>
        <w:t>Tööde teostamise järgselt annab töövõtja üle täitedokumentatsiooni, mis sisaldab vähemalt kasutatud materjalide sertifikaate,  hooldus- ja kasutusjuhendeid ning kaetud tööde akte. Valgustuse mõõtmine ei ole nõutud, kui valgustatus on tõendatav valgusti parameetrite põhjal.</w:t>
      </w:r>
    </w:p>
    <w:p>
      <w:pPr>
        <w:pStyle w:val="Phitekst"/>
        <w:widowControl/>
        <w:numPr>
          <w:ilvl w:val="1"/>
          <w:numId w:val="2"/>
        </w:numPr>
        <w:bidi w:val="0"/>
        <w:spacing w:lineRule="auto" w:line="276" w:before="0" w:after="113"/>
        <w:ind w:left="737" w:right="0" w:hanging="737"/>
        <w:jc w:val="both"/>
        <w:rPr>
          <w:rFonts w:ascii="Times New Roman" w:hAnsi="Times New Roman"/>
          <w:sz w:val="24"/>
          <w:szCs w:val="24"/>
        </w:rPr>
      </w:pPr>
      <w:r>
        <w:rPr>
          <w:sz w:val="24"/>
          <w:szCs w:val="24"/>
          <w:lang w:val="et-EE" w:bidi="ar-SA"/>
        </w:rPr>
        <w:t xml:space="preserve">Lõppkoristus. Enne objekti </w:t>
      </w:r>
      <w:r>
        <w:rPr>
          <w:sz w:val="24"/>
          <w:szCs w:val="24"/>
        </w:rPr>
        <w:t>üleandmist Tellijale, peab peatöövõtja koristama objekti. Ehitusjärgne koristus peab tagama ehitustolmu täieliku kõrvaldamise ka varjatud kohtadest. Kõik tehnosüsteemid peavad olema kasutusvalmis ning tasakaalustatud. Tolmuvabaks loetakse objekti, kus on täielikult lõpetatud kõik ehituslikud-, puurimis-, koristus- ja viimistlustööd ning on tehtud objekti koristus vastavalt EVS 807:2010</w:t>
      </w:r>
    </w:p>
    <w:p>
      <w:pPr>
        <w:pStyle w:val="Phitekst"/>
        <w:widowControl/>
        <w:numPr>
          <w:ilvl w:val="1"/>
          <w:numId w:val="2"/>
        </w:numPr>
        <w:bidi w:val="0"/>
        <w:spacing w:lineRule="auto" w:line="276" w:before="0" w:after="113"/>
        <w:ind w:left="737" w:right="0" w:hanging="737"/>
        <w:jc w:val="both"/>
        <w:rPr>
          <w:rFonts w:ascii="Times New Roman" w:hAnsi="Times New Roman"/>
          <w:sz w:val="24"/>
          <w:szCs w:val="24"/>
        </w:rPr>
      </w:pPr>
      <w:r>
        <w:rPr>
          <w:sz w:val="24"/>
          <w:szCs w:val="24"/>
        </w:rPr>
        <w:t>Tööde käigus tuleb arvestada tööfrondi vabastamiseks mööbli ümberpaigutamise ja kaitsmistöödega. Samuti mööbli tagasipaigaldamisega.</w:t>
      </w:r>
    </w:p>
    <w:p>
      <w:pPr>
        <w:pStyle w:val="Phitekst"/>
        <w:widowControl/>
        <w:numPr>
          <w:ilvl w:val="1"/>
          <w:numId w:val="2"/>
        </w:numPr>
        <w:bidi w:val="0"/>
        <w:spacing w:lineRule="auto" w:line="276" w:before="0" w:after="113"/>
        <w:ind w:left="737" w:right="0" w:hanging="737"/>
        <w:jc w:val="both"/>
        <w:rPr>
          <w:rFonts w:ascii="Times New Roman" w:hAnsi="Times New Roman"/>
          <w:sz w:val="24"/>
          <w:szCs w:val="24"/>
        </w:rPr>
      </w:pPr>
      <w:r>
        <w:rPr>
          <w:sz w:val="24"/>
          <w:szCs w:val="24"/>
          <w:lang w:val="et-EE" w:bidi="ar-SA"/>
        </w:rPr>
        <w:t>Olemasolevad turvapaigaldised tuleb kaitsta tolmu ja muude kahjustuste eest ja vajadusel kooskõlastatult hooldust teostava isikuga tööde ajaks lahti ühendada. Tööde lõppedes tuleb tagada turvapaigaldiste töökord.</w:t>
      </w:r>
    </w:p>
    <w:p>
      <w:pPr>
        <w:pStyle w:val="Phitekst"/>
        <w:widowControl/>
        <w:numPr>
          <w:ilvl w:val="0"/>
          <w:numId w:val="0"/>
        </w:numPr>
        <w:bidi w:val="0"/>
        <w:spacing w:lineRule="auto" w:line="276" w:before="0" w:after="113"/>
        <w:ind w:left="57" w:right="0" w:hanging="0"/>
        <w:jc w:val="both"/>
        <w:rPr>
          <w:rFonts w:ascii="Times New Roman" w:hAnsi="Times New Roman" w:cs="Times New Roman"/>
          <w:strike w:val="false"/>
          <w:dstrike w:val="false"/>
          <w:sz w:val="24"/>
          <w:szCs w:val="24"/>
          <w:lang w:val="et-EE" w:eastAsia="et-EE"/>
        </w:rPr>
      </w:pPr>
      <w:r>
        <w:rPr>
          <w:rFonts w:cs="Times New Roman"/>
          <w:strike w:val="false"/>
          <w:dstrike w:val="false"/>
          <w:sz w:val="24"/>
          <w:szCs w:val="24"/>
          <w:lang w:val="et-EE" w:eastAsia="et-EE"/>
        </w:rPr>
      </w:r>
    </w:p>
    <w:p>
      <w:pPr>
        <w:pStyle w:val="Normal"/>
        <w:widowControl w:val="false"/>
        <w:numPr>
          <w:ilvl w:val="0"/>
          <w:numId w:val="2"/>
        </w:numPr>
        <w:spacing w:before="0" w:after="170"/>
        <w:ind w:left="737" w:right="0" w:hanging="737"/>
        <w:jc w:val="both"/>
        <w:rPr>
          <w:rFonts w:ascii="Times New Roman" w:hAnsi="Times New Roman"/>
          <w:sz w:val="24"/>
          <w:szCs w:val="24"/>
        </w:rPr>
      </w:pPr>
      <w:r>
        <w:rPr>
          <w:rFonts w:cs="Times New Roman" w:ascii="Times New Roman" w:hAnsi="Times New Roman"/>
          <w:b/>
          <w:bCs/>
          <w:strike w:val="false"/>
          <w:dstrike w:val="false"/>
          <w:color w:val="3465A4"/>
          <w:sz w:val="24"/>
          <w:szCs w:val="24"/>
          <w:lang w:val="et-EE" w:eastAsia="et-EE"/>
        </w:rPr>
        <w:t>PAKKUMUSE VORM JA KOOSSEIS</w:t>
      </w:r>
    </w:p>
    <w:p>
      <w:pPr>
        <w:pStyle w:val="Normal"/>
        <w:widowControl w:val="false"/>
        <w:numPr>
          <w:ilvl w:val="1"/>
          <w:numId w:val="2"/>
        </w:numPr>
        <w:spacing w:before="0" w:after="170"/>
        <w:ind w:left="737" w:right="0" w:hanging="737"/>
        <w:jc w:val="both"/>
        <w:rPr>
          <w:rFonts w:ascii="Times New Roman" w:hAnsi="Times New Roman"/>
          <w:sz w:val="24"/>
          <w:szCs w:val="24"/>
        </w:rPr>
      </w:pPr>
      <w:r>
        <w:rPr>
          <w:rFonts w:cs="Times New Roman" w:ascii="Times New Roman" w:hAnsi="Times New Roman"/>
          <w:b w:val="false"/>
          <w:bCs w:val="false"/>
          <w:strike w:val="false"/>
          <w:dstrike w:val="false"/>
          <w:sz w:val="24"/>
          <w:szCs w:val="24"/>
          <w:lang w:val="et-EE" w:eastAsia="et-EE"/>
        </w:rPr>
        <w:t>Pakkumus esitatakse VORM I</w:t>
      </w:r>
      <w:r>
        <w:rPr>
          <w:rFonts w:eastAsia="Calibri" w:cs="Times New Roman" w:ascii="Times New Roman" w:hAnsi="Times New Roman"/>
          <w:b w:val="false"/>
          <w:bCs w:val="false"/>
          <w:strike w:val="false"/>
          <w:dstrike w:val="false"/>
          <w:color w:val="00000A"/>
          <w:kern w:val="0"/>
          <w:sz w:val="24"/>
          <w:szCs w:val="24"/>
          <w:lang w:val="et-EE" w:eastAsia="et-EE" w:bidi="ar-SA"/>
        </w:rPr>
        <w:t xml:space="preserve"> vormis</w:t>
      </w:r>
      <w:r>
        <w:rPr>
          <w:rFonts w:cs="Times New Roman" w:ascii="Times New Roman" w:hAnsi="Times New Roman"/>
          <w:b w:val="false"/>
          <w:bCs w:val="false"/>
          <w:strike w:val="false"/>
          <w:dstrike w:val="false"/>
          <w:sz w:val="24"/>
          <w:szCs w:val="24"/>
          <w:lang w:val="et-EE" w:eastAsia="et-EE"/>
        </w:rPr>
        <w:t xml:space="preserve"> ja see peab sisaldama:</w:t>
      </w:r>
    </w:p>
    <w:p>
      <w:pPr>
        <w:pStyle w:val="Normal"/>
        <w:widowControl w:val="false"/>
        <w:numPr>
          <w:ilvl w:val="2"/>
          <w:numId w:val="2"/>
        </w:numPr>
        <w:spacing w:before="0" w:after="170"/>
        <w:ind w:left="737" w:right="0" w:hanging="737"/>
        <w:jc w:val="both"/>
        <w:rPr>
          <w:rFonts w:ascii="Times New Roman" w:hAnsi="Times New Roman"/>
          <w:sz w:val="24"/>
          <w:szCs w:val="24"/>
        </w:rPr>
      </w:pPr>
      <w:r>
        <w:rPr>
          <w:rFonts w:cs="Times New Roman" w:ascii="Times New Roman" w:hAnsi="Times New Roman"/>
          <w:b w:val="false"/>
          <w:bCs w:val="false"/>
          <w:strike w:val="false"/>
          <w:dstrike w:val="false"/>
          <w:sz w:val="24"/>
          <w:szCs w:val="24"/>
          <w:lang w:val="et-EE" w:eastAsia="et-EE"/>
        </w:rPr>
        <w:t>Pakkuja üld- ja kontaktandmeid;</w:t>
      </w:r>
    </w:p>
    <w:p>
      <w:pPr>
        <w:pStyle w:val="Normal"/>
        <w:widowControl w:val="false"/>
        <w:numPr>
          <w:ilvl w:val="2"/>
          <w:numId w:val="2"/>
        </w:numPr>
        <w:spacing w:before="0" w:after="170"/>
        <w:ind w:left="737" w:right="0" w:hanging="737"/>
        <w:jc w:val="both"/>
        <w:rPr>
          <w:rFonts w:ascii="Times New Roman" w:hAnsi="Times New Roman"/>
          <w:sz w:val="24"/>
          <w:szCs w:val="24"/>
        </w:rPr>
      </w:pPr>
      <w:r>
        <w:rPr>
          <w:rFonts w:cs="Times New Roman" w:ascii="Times New Roman" w:hAnsi="Times New Roman"/>
          <w:b w:val="false"/>
          <w:bCs w:val="false"/>
          <w:strike w:val="false"/>
          <w:dstrike w:val="false"/>
          <w:sz w:val="24"/>
          <w:szCs w:val="24"/>
          <w:lang w:val="et-EE" w:eastAsia="et-EE"/>
        </w:rPr>
        <w:t>pakkumuse maksumust päringu struktuuri kohaselt;</w:t>
      </w:r>
    </w:p>
    <w:p>
      <w:pPr>
        <w:pStyle w:val="Normal"/>
        <w:widowControl w:val="false"/>
        <w:numPr>
          <w:ilvl w:val="2"/>
          <w:numId w:val="2"/>
        </w:numPr>
        <w:spacing w:before="0" w:after="170"/>
        <w:ind w:left="737" w:right="0" w:hanging="737"/>
        <w:jc w:val="both"/>
        <w:rPr>
          <w:rFonts w:ascii="Times New Roman" w:hAnsi="Times New Roman"/>
          <w:sz w:val="24"/>
          <w:szCs w:val="24"/>
        </w:rPr>
      </w:pPr>
      <w:r>
        <w:rPr>
          <w:rFonts w:cs="Times New Roman" w:ascii="Times New Roman" w:hAnsi="Times New Roman"/>
          <w:b w:val="false"/>
          <w:bCs w:val="false"/>
          <w:strike w:val="false"/>
          <w:dstrike w:val="false"/>
          <w:sz w:val="24"/>
          <w:szCs w:val="24"/>
          <w:lang w:val="et-EE" w:eastAsia="et-EE"/>
        </w:rPr>
        <w:t>pakkuja kinnitusi.</w:t>
      </w:r>
    </w:p>
    <w:p>
      <w:pPr>
        <w:pStyle w:val="Normal"/>
        <w:widowControl w:val="false"/>
        <w:spacing w:before="0" w:after="170"/>
        <w:ind w:left="0" w:right="0" w:hanging="0"/>
        <w:jc w:val="both"/>
        <w:rPr>
          <w:rFonts w:ascii="Times New Roman" w:hAnsi="Times New Roman" w:cs="Times New Roman"/>
          <w:strike w:val="false"/>
          <w:dstrike w:val="false"/>
          <w:sz w:val="24"/>
          <w:szCs w:val="24"/>
          <w:lang w:val="et-EE" w:eastAsia="et-EE"/>
        </w:rPr>
      </w:pPr>
      <w:r>
        <w:rPr>
          <w:rFonts w:cs="Times New Roman" w:ascii="Times New Roman" w:hAnsi="Times New Roman"/>
          <w:strike w:val="false"/>
          <w:dstrike w:val="false"/>
          <w:sz w:val="24"/>
          <w:szCs w:val="24"/>
          <w:lang w:val="et-EE" w:eastAsia="et-EE"/>
        </w:rPr>
      </w:r>
    </w:p>
    <w:p>
      <w:pPr>
        <w:pStyle w:val="Normal"/>
        <w:widowControl w:val="false"/>
        <w:numPr>
          <w:ilvl w:val="0"/>
          <w:numId w:val="2"/>
        </w:numPr>
        <w:spacing w:before="0" w:after="170"/>
        <w:ind w:left="737" w:right="0" w:hanging="737"/>
        <w:jc w:val="both"/>
        <w:rPr>
          <w:rFonts w:ascii="Times New Roman" w:hAnsi="Times New Roman"/>
          <w:sz w:val="24"/>
          <w:szCs w:val="24"/>
        </w:rPr>
      </w:pPr>
      <w:r>
        <w:rPr>
          <w:rFonts w:cs="Times New Roman" w:ascii="Times New Roman" w:hAnsi="Times New Roman"/>
          <w:b/>
          <w:color w:val="3465A4"/>
          <w:sz w:val="24"/>
          <w:szCs w:val="24"/>
        </w:rPr>
        <w:t>KÕRVALDAMISE ALUSED</w:t>
      </w:r>
    </w:p>
    <w:p>
      <w:pPr>
        <w:pStyle w:val="Normal"/>
        <w:widowControl w:val="false"/>
        <w:numPr>
          <w:ilvl w:val="1"/>
          <w:numId w:val="2"/>
        </w:numPr>
        <w:spacing w:before="0" w:after="170"/>
        <w:ind w:left="737" w:right="0" w:hanging="737"/>
        <w:jc w:val="both"/>
        <w:rPr>
          <w:rFonts w:ascii="Times New Roman" w:hAnsi="Times New Roman"/>
          <w:sz w:val="24"/>
          <w:szCs w:val="24"/>
        </w:rPr>
      </w:pPr>
      <w:r>
        <w:rPr>
          <w:rFonts w:cs="Times New Roman" w:ascii="Times New Roman" w:hAnsi="Times New Roman"/>
          <w:strike w:val="false"/>
          <w:dstrike w:val="false"/>
          <w:sz w:val="24"/>
          <w:szCs w:val="24"/>
          <w:lang w:val="et-EE"/>
        </w:rPr>
        <w:t xml:space="preserve">Hankija ei sõlmi hankelepingut ja kõrvaldab ostumenetlusest pakkuja, kui pakkujal esineb RHS § 95 lg 1 p-des 1-5 sätestatud kõrvaldamise alus(eid). </w:t>
      </w:r>
    </w:p>
    <w:p>
      <w:pPr>
        <w:pStyle w:val="Normal"/>
        <w:widowControl w:val="false"/>
        <w:numPr>
          <w:ilvl w:val="1"/>
          <w:numId w:val="2"/>
        </w:numPr>
        <w:spacing w:before="0" w:after="170"/>
        <w:ind w:left="737" w:right="0" w:hanging="737"/>
        <w:jc w:val="both"/>
        <w:rPr>
          <w:rFonts w:ascii="Times New Roman" w:hAnsi="Times New Roman"/>
          <w:sz w:val="24"/>
          <w:szCs w:val="24"/>
        </w:rPr>
      </w:pPr>
      <w:r>
        <w:rPr>
          <w:rFonts w:cs="Times New Roman" w:ascii="Times New Roman" w:hAnsi="Times New Roman"/>
          <w:strike w:val="false"/>
          <w:dstrike w:val="false"/>
          <w:sz w:val="24"/>
          <w:szCs w:val="24"/>
          <w:lang w:val="et-EE"/>
        </w:rPr>
        <w:t xml:space="preserve">Hankija võib ostumenetlusest kõrvaldada pakkuja, kellel esineb üks või mitu RHS § 95 lg 4 p-des 1-12 sätestatud kõrvaldamise alus. </w:t>
      </w:r>
    </w:p>
    <w:p>
      <w:pPr>
        <w:pStyle w:val="Normal"/>
        <w:widowControl w:val="false"/>
        <w:numPr>
          <w:ilvl w:val="1"/>
          <w:numId w:val="2"/>
        </w:numPr>
        <w:spacing w:before="0" w:after="170"/>
        <w:ind w:left="737" w:right="0" w:hanging="737"/>
        <w:jc w:val="both"/>
        <w:rPr>
          <w:b w:val="false"/>
          <w:b w:val="false"/>
          <w:bCs w:val="false"/>
          <w:color w:val="auto"/>
        </w:rPr>
      </w:pPr>
      <w:r>
        <w:rPr>
          <w:rFonts w:cs="Times New Roman" w:ascii="Times New Roman" w:hAnsi="Times New Roman"/>
          <w:b w:val="false"/>
          <w:bCs w:val="false"/>
          <w:strike w:val="false"/>
          <w:dstrike w:val="false"/>
          <w:color w:val="auto"/>
          <w:sz w:val="24"/>
          <w:szCs w:val="24"/>
          <w:lang w:val="et-EE" w:eastAsia="et-EE"/>
        </w:rPr>
        <w:t>Hankijal on õigus pakkujalt küsida kõrvaldamise aluste puudumise kontrollimisel täiendavaid andmeid ja selgitusi.</w:t>
      </w:r>
    </w:p>
    <w:p>
      <w:pPr>
        <w:pStyle w:val="Normal"/>
        <w:widowControl w:val="false"/>
        <w:numPr>
          <w:ilvl w:val="0"/>
          <w:numId w:val="0"/>
        </w:numPr>
        <w:spacing w:before="0" w:after="170"/>
        <w:ind w:left="0" w:right="0" w:hanging="0"/>
        <w:jc w:val="both"/>
        <w:rPr/>
      </w:pPr>
      <w:r>
        <w:rPr/>
      </w:r>
    </w:p>
    <w:p>
      <w:pPr>
        <w:pStyle w:val="Normal"/>
        <w:widowControl w:val="false"/>
        <w:numPr>
          <w:ilvl w:val="0"/>
          <w:numId w:val="2"/>
        </w:numPr>
        <w:spacing w:before="0" w:after="170"/>
        <w:ind w:left="737" w:right="0" w:hanging="737"/>
        <w:jc w:val="both"/>
        <w:rPr>
          <w:rFonts w:ascii="Times New Roman" w:hAnsi="Times New Roman"/>
          <w:sz w:val="24"/>
          <w:szCs w:val="24"/>
        </w:rPr>
      </w:pPr>
      <w:r>
        <w:rPr>
          <w:rFonts w:cs="Times New Roman" w:ascii="Times New Roman" w:hAnsi="Times New Roman"/>
          <w:b/>
          <w:strike w:val="false"/>
          <w:dstrike w:val="false"/>
          <w:color w:val="3465A4"/>
          <w:sz w:val="24"/>
          <w:szCs w:val="24"/>
          <w:lang w:val="et-EE" w:eastAsia="et-EE"/>
        </w:rPr>
        <w:t>KVALIFITSEERIMISTINGIMUSED</w:t>
      </w:r>
    </w:p>
    <w:p>
      <w:pPr>
        <w:pStyle w:val="Normal"/>
        <w:widowControl w:val="false"/>
        <w:numPr>
          <w:ilvl w:val="1"/>
          <w:numId w:val="2"/>
        </w:numPr>
        <w:spacing w:before="0" w:after="170"/>
        <w:ind w:left="737" w:right="0" w:hanging="737"/>
        <w:jc w:val="both"/>
        <w:rPr>
          <w:rFonts w:ascii="Times New Roman" w:hAnsi="Times New Roman"/>
          <w:sz w:val="24"/>
          <w:szCs w:val="24"/>
        </w:rPr>
      </w:pPr>
      <w:r>
        <w:rPr>
          <w:rFonts w:cs="Times New Roman" w:ascii="Times New Roman" w:hAnsi="Times New Roman"/>
          <w:strike w:val="false"/>
          <w:dstrike w:val="false"/>
          <w:sz w:val="24"/>
          <w:szCs w:val="24"/>
          <w:lang w:val="et-EE" w:eastAsia="et-EE"/>
        </w:rPr>
        <w:t>Hankelepingu täitmise vastutav isik peab omama erialast haridust, pädevust ja kogemust pakutava töö teostamiseks.</w:t>
      </w:r>
    </w:p>
    <w:p>
      <w:pPr>
        <w:pStyle w:val="Normal"/>
        <w:widowControl w:val="false"/>
        <w:numPr>
          <w:ilvl w:val="1"/>
          <w:numId w:val="2"/>
        </w:numPr>
        <w:spacing w:before="0" w:after="170"/>
        <w:ind w:left="737" w:right="0" w:hanging="737"/>
        <w:jc w:val="both"/>
        <w:rPr>
          <w:rFonts w:ascii="Times New Roman" w:hAnsi="Times New Roman"/>
          <w:b w:val="false"/>
          <w:b w:val="false"/>
          <w:bCs w:val="false"/>
          <w:color w:val="auto"/>
          <w:sz w:val="24"/>
          <w:szCs w:val="24"/>
        </w:rPr>
      </w:pPr>
      <w:r>
        <w:rPr>
          <w:rFonts w:cs="Times New Roman" w:ascii="Times New Roman" w:hAnsi="Times New Roman"/>
          <w:b w:val="false"/>
          <w:bCs w:val="false"/>
          <w:strike w:val="false"/>
          <w:dstrike w:val="false"/>
          <w:color w:val="auto"/>
          <w:sz w:val="24"/>
          <w:szCs w:val="24"/>
          <w:lang w:val="et-EE" w:eastAsia="et-EE"/>
        </w:rPr>
        <w:t>Pakkuja majanduslik- ja finantsseisund ning tehniline ja kutsealane pädevus peab võimaldama hankelepingu tõrgeteta täitmist.</w:t>
      </w:r>
    </w:p>
    <w:p>
      <w:pPr>
        <w:pStyle w:val="Normal"/>
        <w:widowControl w:val="false"/>
        <w:spacing w:before="0" w:after="170"/>
        <w:ind w:left="737" w:right="0" w:hanging="737"/>
        <w:jc w:val="both"/>
        <w:rPr>
          <w:rFonts w:ascii="Times New Roman" w:hAnsi="Times New Roman"/>
          <w:b w:val="false"/>
          <w:b w:val="false"/>
          <w:bCs w:val="false"/>
          <w:color w:val="auto"/>
          <w:sz w:val="24"/>
          <w:szCs w:val="24"/>
        </w:rPr>
      </w:pPr>
      <w:r>
        <w:rPr>
          <w:rFonts w:ascii="Times New Roman" w:hAnsi="Times New Roman"/>
          <w:b w:val="false"/>
          <w:bCs w:val="false"/>
          <w:color w:val="auto"/>
          <w:sz w:val="24"/>
          <w:szCs w:val="24"/>
        </w:rPr>
      </w:r>
    </w:p>
    <w:p>
      <w:pPr>
        <w:pStyle w:val="Normal"/>
        <w:widowControl w:val="false"/>
        <w:numPr>
          <w:ilvl w:val="0"/>
          <w:numId w:val="2"/>
        </w:numPr>
        <w:spacing w:before="0" w:after="170"/>
        <w:ind w:left="737" w:right="0" w:hanging="737"/>
        <w:jc w:val="both"/>
        <w:rPr>
          <w:rFonts w:ascii="Times New Roman" w:hAnsi="Times New Roman"/>
          <w:sz w:val="24"/>
          <w:szCs w:val="24"/>
        </w:rPr>
      </w:pPr>
      <w:r>
        <w:rPr>
          <w:rFonts w:cs="Times New Roman" w:ascii="Times New Roman" w:hAnsi="Times New Roman"/>
          <w:b/>
          <w:bCs/>
          <w:strike w:val="false"/>
          <w:dstrike w:val="false"/>
          <w:color w:val="3465A4"/>
          <w:sz w:val="24"/>
          <w:szCs w:val="24"/>
          <w:lang w:val="et-EE" w:eastAsia="et-EE"/>
        </w:rPr>
        <w:t>PAKKUMUSE VASTAVUSTINGIMUSED</w:t>
      </w:r>
    </w:p>
    <w:p>
      <w:pPr>
        <w:pStyle w:val="Normal"/>
        <w:widowControl w:val="false"/>
        <w:numPr>
          <w:ilvl w:val="1"/>
          <w:numId w:val="2"/>
        </w:numPr>
        <w:spacing w:before="0" w:after="170"/>
        <w:ind w:left="737" w:right="0" w:hanging="737"/>
        <w:jc w:val="both"/>
        <w:rPr>
          <w:rFonts w:ascii="Times New Roman" w:hAnsi="Times New Roman"/>
          <w:sz w:val="24"/>
          <w:szCs w:val="24"/>
        </w:rPr>
      </w:pPr>
      <w:r>
        <w:rPr>
          <w:rFonts w:cs="Times New Roman" w:ascii="Times New Roman" w:hAnsi="Times New Roman"/>
          <w:strike w:val="false"/>
          <w:dstrike w:val="false"/>
          <w:sz w:val="24"/>
          <w:szCs w:val="24"/>
          <w:lang w:val="et-EE"/>
        </w:rPr>
        <w:t>Pakkumuse koostamisel ja esitamisel lähtuda väikehanke alusdokumentidest ning pakkumuse ettevalmistusperioodil hankija antud selgitustest.</w:t>
      </w:r>
    </w:p>
    <w:p>
      <w:pPr>
        <w:pStyle w:val="Normal"/>
        <w:widowControl w:val="false"/>
        <w:numPr>
          <w:ilvl w:val="1"/>
          <w:numId w:val="2"/>
        </w:numPr>
        <w:spacing w:before="0" w:after="170"/>
        <w:ind w:left="737" w:right="0" w:hanging="737"/>
        <w:jc w:val="both"/>
        <w:rPr>
          <w:rFonts w:ascii="Times New Roman" w:hAnsi="Times New Roman"/>
          <w:sz w:val="24"/>
          <w:szCs w:val="24"/>
        </w:rPr>
      </w:pPr>
      <w:r>
        <w:rPr>
          <w:rFonts w:eastAsia="Times New Roman" w:cs="Times New Roman" w:ascii="Times New Roman" w:hAnsi="Times New Roman"/>
          <w:strike w:val="false"/>
          <w:dstrike w:val="false"/>
          <w:sz w:val="24"/>
          <w:szCs w:val="24"/>
          <w:lang w:val="et-EE"/>
        </w:rPr>
        <w:t>Pakkumuse maksumuse kalkuleerimisel peab pakkuja</w:t>
      </w:r>
      <w:r>
        <w:rPr>
          <w:rFonts w:eastAsia="Times New Roman" w:cs="Times New Roman" w:ascii="Times New Roman" w:hAnsi="Times New Roman"/>
          <w:strike w:val="false"/>
          <w:dstrike w:val="false"/>
          <w:sz w:val="24"/>
          <w:szCs w:val="24"/>
          <w:lang w:val="et-EE" w:eastAsia="et-EE"/>
        </w:rPr>
        <w:t xml:space="preserve"> arvestama, et maksumus hõlmab kõiki hankelepingu nõuetekohaseks vajalikke töid, teenuseid, tegevusi ja toiminguid k.a neid, mida ei ole alusdokumentides kirjeldatud, kuid mis on lepingu eesmärki arvestades tavapäraselt vajalikud nõuetekohase tulemuse saavutamiseks.</w:t>
      </w:r>
    </w:p>
    <w:p>
      <w:pPr>
        <w:pStyle w:val="Normal"/>
        <w:widowControl w:val="false"/>
        <w:numPr>
          <w:ilvl w:val="1"/>
          <w:numId w:val="2"/>
        </w:numPr>
        <w:spacing w:before="0" w:after="170"/>
        <w:ind w:left="737" w:right="0" w:hanging="737"/>
        <w:jc w:val="both"/>
        <w:rPr>
          <w:rFonts w:ascii="Times New Roman" w:hAnsi="Times New Roman"/>
          <w:sz w:val="24"/>
          <w:szCs w:val="24"/>
        </w:rPr>
      </w:pPr>
      <w:r>
        <w:rPr>
          <w:rFonts w:eastAsia="Times New Roman" w:cs="Times New Roman" w:ascii="Times New Roman" w:hAnsi="Times New Roman"/>
          <w:strike w:val="false"/>
          <w:dstrike w:val="false"/>
          <w:sz w:val="24"/>
          <w:szCs w:val="24"/>
          <w:lang w:val="et-EE" w:eastAsia="et-EE"/>
        </w:rPr>
        <w:t xml:space="preserve">Lubatud ei ole esitada tingimuslikku või alternatiivset pakkumust. </w:t>
      </w:r>
    </w:p>
    <w:p>
      <w:pPr>
        <w:pStyle w:val="Normal"/>
        <w:widowControl w:val="false"/>
        <w:numPr>
          <w:ilvl w:val="1"/>
          <w:numId w:val="2"/>
        </w:numPr>
        <w:spacing w:before="0" w:after="170"/>
        <w:ind w:left="737" w:right="0" w:hanging="737"/>
        <w:jc w:val="both"/>
        <w:rPr>
          <w:rFonts w:ascii="Times New Roman" w:hAnsi="Times New Roman"/>
          <w:sz w:val="24"/>
          <w:szCs w:val="24"/>
        </w:rPr>
      </w:pPr>
      <w:r>
        <w:rPr>
          <w:rFonts w:eastAsia="Times New Roman" w:cs="Times New Roman" w:ascii="Times New Roman" w:hAnsi="Times New Roman"/>
          <w:strike w:val="false"/>
          <w:dstrike w:val="false"/>
          <w:sz w:val="24"/>
          <w:szCs w:val="24"/>
          <w:lang w:val="et-EE" w:eastAsia="et-EE"/>
        </w:rPr>
        <w:t>Hankija võib põhjendatud kahtluse korral hinnata pakkumuse alapakkumuseks või selle tagasi lükata juhul, kui:</w:t>
      </w:r>
    </w:p>
    <w:p>
      <w:pPr>
        <w:pStyle w:val="Normal"/>
        <w:widowControl w:val="false"/>
        <w:numPr>
          <w:ilvl w:val="2"/>
          <w:numId w:val="2"/>
        </w:numPr>
        <w:spacing w:before="0" w:after="170"/>
        <w:ind w:left="737" w:right="0" w:hanging="737"/>
        <w:jc w:val="both"/>
        <w:rPr>
          <w:rFonts w:ascii="Times New Roman" w:hAnsi="Times New Roman"/>
          <w:sz w:val="24"/>
          <w:szCs w:val="24"/>
        </w:rPr>
      </w:pPr>
      <w:r>
        <w:rPr>
          <w:rFonts w:eastAsia="Times New Roman" w:cs="Times New Roman" w:ascii="Times New Roman" w:hAnsi="Times New Roman"/>
          <w:strike w:val="false"/>
          <w:dstrike w:val="false"/>
          <w:sz w:val="24"/>
          <w:szCs w:val="24"/>
          <w:lang w:val="et-EE" w:eastAsia="et-EE"/>
        </w:rPr>
        <w:t>tekib vajadus hankelepingu eset olulisel määral muuta;</w:t>
      </w:r>
    </w:p>
    <w:p>
      <w:pPr>
        <w:pStyle w:val="Normal"/>
        <w:widowControl w:val="false"/>
        <w:numPr>
          <w:ilvl w:val="2"/>
          <w:numId w:val="2"/>
        </w:numPr>
        <w:spacing w:before="0" w:after="170"/>
        <w:ind w:left="737" w:right="0" w:hanging="737"/>
        <w:jc w:val="both"/>
        <w:rPr>
          <w:rFonts w:ascii="Times New Roman" w:hAnsi="Times New Roman"/>
          <w:sz w:val="24"/>
          <w:szCs w:val="24"/>
        </w:rPr>
      </w:pPr>
      <w:r>
        <w:rPr>
          <w:rFonts w:eastAsia="Times New Roman" w:cs="Times New Roman" w:ascii="Times New Roman" w:hAnsi="Times New Roman"/>
          <w:strike w:val="false"/>
          <w:dstrike w:val="false"/>
          <w:sz w:val="24"/>
          <w:szCs w:val="24"/>
          <w:lang w:val="et-EE" w:eastAsia="et-EE"/>
        </w:rPr>
        <w:t>hankija arvates on pakkuja antud hinnangud tulevaste kulutuste osas ebaõiged;</w:t>
      </w:r>
    </w:p>
    <w:p>
      <w:pPr>
        <w:pStyle w:val="Normal"/>
        <w:widowControl w:val="false"/>
        <w:numPr>
          <w:ilvl w:val="2"/>
          <w:numId w:val="2"/>
        </w:numPr>
        <w:spacing w:before="0" w:after="170"/>
        <w:ind w:left="737" w:right="0" w:hanging="737"/>
        <w:jc w:val="both"/>
        <w:rPr>
          <w:rFonts w:ascii="Times New Roman" w:hAnsi="Times New Roman"/>
          <w:sz w:val="24"/>
          <w:szCs w:val="24"/>
        </w:rPr>
      </w:pPr>
      <w:r>
        <w:rPr>
          <w:rFonts w:eastAsia="Times New Roman" w:cs="Times New Roman" w:ascii="Times New Roman" w:hAnsi="Times New Roman"/>
          <w:strike w:val="false"/>
          <w:dstrike w:val="false"/>
          <w:sz w:val="24"/>
          <w:szCs w:val="24"/>
          <w:lang w:val="et-EE" w:eastAsia="et-EE"/>
        </w:rPr>
        <w:t>hanke läbiviimise aluseks olevad tingimused on oluliselt muutunud ja seetõttu osutub hankelepingu sõlmimine mittevajalikuks või võimatuks;</w:t>
      </w:r>
    </w:p>
    <w:p>
      <w:pPr>
        <w:pStyle w:val="Normal"/>
        <w:widowControl w:val="false"/>
        <w:numPr>
          <w:ilvl w:val="2"/>
          <w:numId w:val="2"/>
        </w:numPr>
        <w:spacing w:before="0" w:after="170"/>
        <w:ind w:left="737" w:right="0" w:hanging="737"/>
        <w:jc w:val="both"/>
        <w:rPr>
          <w:rFonts w:ascii="Times New Roman" w:hAnsi="Times New Roman"/>
          <w:sz w:val="24"/>
          <w:szCs w:val="24"/>
        </w:rPr>
      </w:pPr>
      <w:r>
        <w:rPr>
          <w:rFonts w:eastAsia="Times New Roman" w:cs="Times New Roman" w:ascii="Times New Roman" w:hAnsi="Times New Roman"/>
          <w:strike w:val="false"/>
          <w:dstrike w:val="false"/>
          <w:sz w:val="24"/>
          <w:szCs w:val="24"/>
          <w:lang w:val="et-EE" w:eastAsia="et-EE"/>
        </w:rPr>
        <w:t>kõigi pakkumuste või vastavaks tunnistatud pakkumuste maksumused ületavad hankelepingu eeldatavat maksumust.</w:t>
      </w:r>
    </w:p>
    <w:p>
      <w:pPr>
        <w:pStyle w:val="Normal"/>
        <w:widowControl w:val="false"/>
        <w:numPr>
          <w:ilvl w:val="1"/>
          <w:numId w:val="2"/>
        </w:numPr>
        <w:spacing w:before="0" w:after="170"/>
        <w:ind w:left="737" w:right="0" w:hanging="737"/>
        <w:jc w:val="both"/>
        <w:rPr>
          <w:rFonts w:ascii="Times New Roman" w:hAnsi="Times New Roman"/>
          <w:sz w:val="24"/>
          <w:szCs w:val="24"/>
        </w:rPr>
      </w:pPr>
      <w:r>
        <w:rPr>
          <w:rFonts w:eastAsia="Times New Roman" w:cs="Times New Roman" w:ascii="Times New Roman" w:hAnsi="Times New Roman"/>
          <w:strike w:val="false"/>
          <w:dstrike w:val="false"/>
          <w:sz w:val="24"/>
          <w:szCs w:val="24"/>
          <w:lang w:val="et-EE" w:eastAsia="et-EE"/>
        </w:rPr>
        <w:t>Põhjendatud vajaduse korral on hankijal õigus hankemenetlus omal algatusel kehtetuks tunnistada.</w:t>
      </w:r>
    </w:p>
    <w:p>
      <w:pPr>
        <w:pStyle w:val="Normal"/>
        <w:widowControl w:val="false"/>
        <w:spacing w:before="0" w:after="170"/>
        <w:ind w:left="0" w:right="0" w:hanging="0"/>
        <w:jc w:val="both"/>
        <w:rPr>
          <w:rFonts w:ascii="Times New Roman" w:hAnsi="Times New Roman" w:eastAsia="Times New Roman" w:cs="Times New Roman"/>
          <w:sz w:val="24"/>
          <w:szCs w:val="24"/>
          <w:lang w:eastAsia="et-EE"/>
        </w:rPr>
      </w:pPr>
      <w:r>
        <w:rPr>
          <w:rFonts w:eastAsia="Times New Roman" w:cs="Times New Roman" w:ascii="Times New Roman" w:hAnsi="Times New Roman"/>
          <w:sz w:val="24"/>
          <w:szCs w:val="24"/>
          <w:lang w:eastAsia="et-EE"/>
        </w:rPr>
      </w:r>
    </w:p>
    <w:p>
      <w:pPr>
        <w:pStyle w:val="Normal"/>
        <w:widowControl w:val="false"/>
        <w:numPr>
          <w:ilvl w:val="0"/>
          <w:numId w:val="2"/>
        </w:numPr>
        <w:spacing w:before="0" w:after="170"/>
        <w:ind w:left="737" w:right="0" w:hanging="737"/>
        <w:jc w:val="both"/>
        <w:rPr>
          <w:rFonts w:ascii="Times New Roman" w:hAnsi="Times New Roman"/>
          <w:sz w:val="24"/>
          <w:szCs w:val="24"/>
        </w:rPr>
      </w:pPr>
      <w:r>
        <w:rPr>
          <w:rFonts w:eastAsia="Times New Roman" w:cs="Times New Roman" w:ascii="Times New Roman" w:hAnsi="Times New Roman"/>
          <w:b/>
          <w:bCs/>
          <w:color w:val="3465A4"/>
          <w:sz w:val="24"/>
          <w:szCs w:val="24"/>
          <w:lang w:eastAsia="et-EE"/>
        </w:rPr>
        <w:t>PAKKUMUSTE HINDAMINE</w:t>
      </w:r>
    </w:p>
    <w:p>
      <w:pPr>
        <w:pStyle w:val="Normal"/>
        <w:widowControl w:val="false"/>
        <w:numPr>
          <w:ilvl w:val="1"/>
          <w:numId w:val="2"/>
        </w:numPr>
        <w:spacing w:before="0" w:after="170"/>
        <w:ind w:left="737" w:right="0" w:hanging="737"/>
        <w:jc w:val="both"/>
        <w:rPr>
          <w:rFonts w:ascii="Times New Roman" w:hAnsi="Times New Roman"/>
          <w:sz w:val="24"/>
          <w:szCs w:val="24"/>
        </w:rPr>
      </w:pPr>
      <w:r>
        <w:rPr>
          <w:rFonts w:eastAsia="Times New Roman" w:cs="Times New Roman" w:ascii="Times New Roman" w:hAnsi="Times New Roman"/>
          <w:strike w:val="false"/>
          <w:dstrike w:val="false"/>
          <w:sz w:val="24"/>
          <w:szCs w:val="24"/>
          <w:shd w:fill="FFFFFF" w:val="clear"/>
          <w:lang w:val="et-EE"/>
        </w:rPr>
        <w:t>Hindamisele kuuluvad vastavaks tunnistatud pakkumused.</w:t>
      </w:r>
    </w:p>
    <w:p>
      <w:pPr>
        <w:pStyle w:val="Normal"/>
        <w:widowControl w:val="false"/>
        <w:numPr>
          <w:ilvl w:val="1"/>
          <w:numId w:val="2"/>
        </w:numPr>
        <w:spacing w:before="0" w:after="170"/>
        <w:ind w:left="737" w:right="0" w:hanging="737"/>
        <w:jc w:val="both"/>
        <w:rPr>
          <w:rFonts w:ascii="Times New Roman" w:hAnsi="Times New Roman"/>
          <w:sz w:val="24"/>
          <w:szCs w:val="24"/>
        </w:rPr>
      </w:pPr>
      <w:r>
        <w:rPr>
          <w:rFonts w:eastAsia="Times New Roman" w:cs="Times New Roman" w:ascii="Times New Roman" w:hAnsi="Times New Roman"/>
          <w:strike w:val="false"/>
          <w:dstrike w:val="false"/>
          <w:sz w:val="24"/>
          <w:szCs w:val="24"/>
          <w:shd w:fill="FFFFFF" w:val="clear"/>
          <w:lang w:val="et-EE"/>
        </w:rPr>
        <w:t xml:space="preserve">Pakkumusi hinnatakse </w:t>
      </w:r>
      <w:r>
        <w:rPr>
          <w:rFonts w:eastAsia="Times New Roman" w:cs="Times New Roman" w:ascii="Times New Roman" w:hAnsi="Times New Roman"/>
          <w:strike w:val="false"/>
          <w:dstrike w:val="false"/>
          <w:color w:val="00000A"/>
          <w:kern w:val="0"/>
          <w:sz w:val="24"/>
          <w:szCs w:val="24"/>
          <w:shd w:fill="FFFFFF" w:val="clear"/>
          <w:lang w:val="et-EE" w:eastAsia="en-US" w:bidi="ar-SA"/>
        </w:rPr>
        <w:t xml:space="preserve">maksumuse alusel. </w:t>
      </w:r>
      <w:r>
        <w:rPr>
          <w:rFonts w:cs="Times New Roman" w:ascii="Times New Roman" w:hAnsi="Times New Roman"/>
          <w:strike w:val="false"/>
          <w:dstrike w:val="false"/>
          <w:sz w:val="24"/>
          <w:szCs w:val="24"/>
          <w:lang w:val="et-EE"/>
        </w:rPr>
        <w:t xml:space="preserve">Edukaks tunnistatakse pakkumus, </w:t>
      </w:r>
      <w:r>
        <w:rPr>
          <w:rFonts w:eastAsia="Calibri" w:cs="Times New Roman" w:ascii="Times New Roman" w:hAnsi="Times New Roman"/>
          <w:strike w:val="false"/>
          <w:dstrike w:val="false"/>
          <w:color w:val="00000A"/>
          <w:kern w:val="0"/>
          <w:sz w:val="24"/>
          <w:szCs w:val="24"/>
          <w:lang w:val="et-EE" w:eastAsia="en-US" w:bidi="ar-SA"/>
        </w:rPr>
        <w:t>mille maksumus on odavaim.</w:t>
      </w:r>
    </w:p>
    <w:p>
      <w:pPr>
        <w:pStyle w:val="Normal"/>
        <w:widowControl w:val="false"/>
        <w:spacing w:before="0" w:after="170"/>
        <w:ind w:left="0" w:right="0" w:hanging="0"/>
        <w:jc w:val="both"/>
        <w:rPr>
          <w:rFonts w:ascii="Times New Roman" w:hAnsi="Times New Roman" w:eastAsia="Lucida Sans Unicode" w:cs="Times New Roman"/>
          <w:iCs/>
          <w:strike w:val="false"/>
          <w:dstrike w:val="false"/>
          <w:color w:val="000000"/>
          <w:sz w:val="24"/>
          <w:szCs w:val="24"/>
          <w:shd w:fill="FFFFFF" w:val="clear"/>
          <w:lang w:val="et-EE" w:eastAsia="et-EE"/>
        </w:rPr>
      </w:pPr>
      <w:r>
        <w:rPr>
          <w:rFonts w:eastAsia="Lucida Sans Unicode" w:cs="Times New Roman" w:ascii="Times New Roman" w:hAnsi="Times New Roman"/>
          <w:iCs/>
          <w:strike w:val="false"/>
          <w:dstrike w:val="false"/>
          <w:color w:val="000000"/>
          <w:sz w:val="24"/>
          <w:szCs w:val="24"/>
          <w:shd w:fill="FFFFFF" w:val="clear"/>
          <w:lang w:val="et-EE" w:eastAsia="et-EE"/>
        </w:rPr>
      </w:r>
    </w:p>
    <w:p>
      <w:pPr>
        <w:pStyle w:val="Normal"/>
        <w:widowControl w:val="false"/>
        <w:numPr>
          <w:ilvl w:val="0"/>
          <w:numId w:val="2"/>
        </w:numPr>
        <w:spacing w:before="0" w:after="170"/>
        <w:ind w:left="737" w:right="0" w:hanging="737"/>
        <w:jc w:val="both"/>
        <w:rPr>
          <w:rFonts w:ascii="Times New Roman" w:hAnsi="Times New Roman"/>
          <w:sz w:val="24"/>
          <w:szCs w:val="24"/>
        </w:rPr>
      </w:pPr>
      <w:r>
        <w:rPr>
          <w:rFonts w:eastAsia="Times New Roman" w:cs="Times New Roman" w:ascii="Times New Roman" w:hAnsi="Times New Roman"/>
          <w:b/>
          <w:bCs/>
          <w:iCs/>
          <w:color w:val="3465A4"/>
          <w:sz w:val="24"/>
          <w:szCs w:val="24"/>
          <w:shd w:fill="FFFFFF" w:val="clear"/>
          <w:lang w:eastAsia="et-EE"/>
        </w:rPr>
        <w:t>LEPINGU TINGIMUSED, SÕLMIMINE JA TÄITMINE</w:t>
      </w:r>
    </w:p>
    <w:p>
      <w:pPr>
        <w:pStyle w:val="Normal"/>
        <w:widowControl w:val="false"/>
        <w:numPr>
          <w:ilvl w:val="1"/>
          <w:numId w:val="2"/>
        </w:numPr>
        <w:spacing w:before="0" w:after="170"/>
        <w:ind w:left="737" w:right="0" w:hanging="737"/>
        <w:jc w:val="both"/>
        <w:rPr>
          <w:rFonts w:ascii="Times New Roman" w:hAnsi="Times New Roman"/>
          <w:sz w:val="24"/>
          <w:szCs w:val="24"/>
        </w:rPr>
      </w:pPr>
      <w:r>
        <w:rPr>
          <w:rFonts w:eastAsia="Lucida Sans Unicode" w:cs="Times New Roman" w:ascii="Times New Roman" w:hAnsi="Times New Roman"/>
          <w:iCs/>
          <w:strike w:val="false"/>
          <w:dstrike w:val="false"/>
          <w:color w:val="000000"/>
          <w:sz w:val="24"/>
          <w:szCs w:val="24"/>
          <w:shd w:fill="FFFFFF" w:val="clear"/>
          <w:lang w:val="et-EE" w:eastAsia="et-EE"/>
        </w:rPr>
        <w:t>Hankija jätab enesele õiguse pakkumus tagasi lükata või rakendada seda osaliselt või pidada  eduka pakkujaga läbirääkimisi, mille järgselt</w:t>
      </w:r>
      <w:r>
        <w:rPr>
          <w:rFonts w:eastAsia="Times New Roman" w:cs="Times New Roman" w:ascii="Times New Roman" w:hAnsi="Times New Roman"/>
          <w:iCs/>
          <w:sz w:val="24"/>
          <w:szCs w:val="24"/>
          <w:shd w:fill="FFFFFF" w:val="clear"/>
          <w:lang w:eastAsia="et-EE"/>
        </w:rPr>
        <w:t xml:space="preserve"> võib hankija teha edukale pakkuja</w:t>
      </w:r>
      <w:r>
        <w:rPr>
          <w:rFonts w:eastAsia="Times New Roman" w:cs="Times New Roman" w:ascii="Times New Roman" w:hAnsi="Times New Roman"/>
          <w:iCs/>
          <w:color w:val="00000A"/>
          <w:kern w:val="0"/>
          <w:sz w:val="24"/>
          <w:szCs w:val="24"/>
          <w:shd w:fill="FFFFFF" w:val="clear"/>
          <w:lang w:val="et-EE" w:eastAsia="et-EE" w:bidi="ar-SA"/>
        </w:rPr>
        <w:t>te</w:t>
      </w:r>
      <w:r>
        <w:rPr>
          <w:rFonts w:eastAsia="Times New Roman" w:cs="Times New Roman" w:ascii="Times New Roman" w:hAnsi="Times New Roman"/>
          <w:iCs/>
          <w:sz w:val="24"/>
          <w:szCs w:val="24"/>
          <w:shd w:fill="FFFFFF" w:val="clear"/>
          <w:lang w:eastAsia="et-EE"/>
        </w:rPr>
        <w:t xml:space="preserve"> ettepaneku kohaldatud tingimustel pakkumuse esitamiseks.</w:t>
      </w:r>
      <w:r>
        <w:rPr>
          <w:rFonts w:eastAsia="Times New Roman" w:cs="Times New Roman" w:ascii="Times New Roman" w:hAnsi="Times New Roman"/>
          <w:iCs/>
          <w:sz w:val="24"/>
          <w:szCs w:val="24"/>
          <w:lang w:eastAsia="et-EE"/>
        </w:rPr>
        <w:t xml:space="preserve"> </w:t>
      </w:r>
    </w:p>
    <w:p>
      <w:pPr>
        <w:pStyle w:val="Normal"/>
        <w:widowControl w:val="false"/>
        <w:numPr>
          <w:ilvl w:val="1"/>
          <w:numId w:val="2"/>
        </w:numPr>
        <w:spacing w:before="0" w:after="170"/>
        <w:ind w:left="737" w:right="0" w:hanging="737"/>
        <w:jc w:val="both"/>
        <w:rPr>
          <w:rFonts w:ascii="Times New Roman" w:hAnsi="Times New Roman"/>
          <w:sz w:val="24"/>
          <w:szCs w:val="24"/>
        </w:rPr>
      </w:pPr>
      <w:r>
        <w:rPr>
          <w:rFonts w:eastAsia="Times New Roman" w:cs="Times New Roman" w:ascii="Times New Roman" w:hAnsi="Times New Roman"/>
          <w:iCs/>
          <w:sz w:val="24"/>
          <w:szCs w:val="24"/>
          <w:shd w:fill="FFFFFF" w:val="clear"/>
          <w:lang w:eastAsia="et-EE"/>
        </w:rPr>
        <w:t>Edukaks tunnistatud pakkumuse esitaja peab hankelepingu allkirjastama 5 päeva jooksul hankelepingu sõlmimise tekkimise õigusest arvates.</w:t>
      </w:r>
    </w:p>
    <w:p>
      <w:pPr>
        <w:pStyle w:val="Phitekst"/>
        <w:widowControl/>
        <w:numPr>
          <w:ilvl w:val="1"/>
          <w:numId w:val="2"/>
        </w:numPr>
        <w:bidi w:val="0"/>
        <w:spacing w:lineRule="auto" w:line="240" w:before="0" w:after="113"/>
        <w:ind w:left="737" w:right="0" w:hanging="737"/>
        <w:jc w:val="both"/>
        <w:rPr>
          <w:rFonts w:ascii="Times New Roman" w:hAnsi="Times New Roman"/>
          <w:sz w:val="24"/>
          <w:szCs w:val="24"/>
        </w:rPr>
      </w:pPr>
      <w:r>
        <w:rPr>
          <w:rFonts w:eastAsia="Times New Roman" w:cs="Times New Roman"/>
          <w:b w:val="false"/>
          <w:bCs w:val="false"/>
          <w:iCs/>
          <w:strike w:val="false"/>
          <w:dstrike w:val="false"/>
          <w:sz w:val="24"/>
          <w:szCs w:val="24"/>
          <w:u w:val="none"/>
          <w:shd w:fill="FFFFFF" w:val="clear"/>
          <w:lang w:eastAsia="et-EE"/>
        </w:rPr>
        <w:t>Lepingu täitmise ajal on lubatud läbirääkimised lahenduse ulatuse ja tehniliste üksikasjade täpsustamiseks, sealjuures hankija eesmärki muutmata.</w:t>
      </w:r>
    </w:p>
    <w:p>
      <w:pPr>
        <w:pStyle w:val="Normal"/>
        <w:widowControl w:val="false"/>
        <w:spacing w:before="0" w:after="170"/>
        <w:ind w:left="709" w:right="0" w:hanging="0"/>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numPr>
          <w:ilvl w:val="0"/>
          <w:numId w:val="2"/>
        </w:numPr>
        <w:spacing w:before="0" w:after="170"/>
        <w:ind w:left="737" w:right="0" w:hanging="737"/>
        <w:jc w:val="both"/>
        <w:rPr>
          <w:rFonts w:ascii="Times New Roman" w:hAnsi="Times New Roman"/>
          <w:sz w:val="24"/>
          <w:szCs w:val="24"/>
        </w:rPr>
      </w:pPr>
      <w:r>
        <w:rPr>
          <w:rFonts w:eastAsia="Times New Roman" w:cs="Times New Roman" w:ascii="Times New Roman" w:hAnsi="Times New Roman"/>
          <w:b/>
          <w:bCs/>
          <w:color w:val="3465A4"/>
          <w:sz w:val="24"/>
          <w:szCs w:val="24"/>
          <w:shd w:fill="FFFFFF" w:val="clear"/>
        </w:rPr>
        <w:t>GARANTIITINGIMUSED</w:t>
      </w:r>
    </w:p>
    <w:p>
      <w:pPr>
        <w:pStyle w:val="Normal"/>
        <w:widowControl w:val="false"/>
        <w:numPr>
          <w:ilvl w:val="1"/>
          <w:numId w:val="2"/>
        </w:numPr>
        <w:spacing w:before="0" w:after="170"/>
        <w:ind w:left="737" w:right="0" w:hanging="737"/>
        <w:jc w:val="both"/>
        <w:rPr>
          <w:rFonts w:ascii="Times New Roman" w:hAnsi="Times New Roman"/>
          <w:sz w:val="24"/>
          <w:szCs w:val="24"/>
        </w:rPr>
      </w:pPr>
      <w:r>
        <w:rPr>
          <w:rFonts w:eastAsia="Times New Roman" w:cs="Times New Roman" w:ascii="Times New Roman" w:hAnsi="Times New Roman"/>
          <w:b w:val="false"/>
          <w:bCs w:val="false"/>
          <w:color w:val="000000"/>
          <w:sz w:val="24"/>
          <w:szCs w:val="24"/>
          <w:shd w:fill="FFFFFF" w:val="clear"/>
          <w:lang w:val="et-EE" w:bidi="ar-SA"/>
        </w:rPr>
        <w:t>Tööde ja toodete garantiiperioodi pikkuseks on 2 aastat (24 kuud).</w:t>
      </w:r>
    </w:p>
    <w:p>
      <w:pPr>
        <w:pStyle w:val="Normal"/>
        <w:widowControl w:val="false"/>
        <w:numPr>
          <w:ilvl w:val="0"/>
          <w:numId w:val="0"/>
        </w:numPr>
        <w:spacing w:before="0" w:after="170"/>
        <w:ind w:left="0" w:right="0" w:hanging="0"/>
        <w:jc w:val="both"/>
        <w:rPr>
          <w:rFonts w:ascii="Times New Roman" w:hAnsi="Times New Roman" w:eastAsia="Times New Roman" w:cs="Times New Roman"/>
          <w:sz w:val="24"/>
          <w:szCs w:val="24"/>
          <w:shd w:fill="FFFFFF" w:val="clear"/>
          <w:lang w:val="et-EE" w:bidi="ar-SA"/>
        </w:rPr>
      </w:pPr>
      <w:r>
        <w:rPr>
          <w:rFonts w:eastAsia="Times New Roman" w:cs="Times New Roman" w:ascii="Times New Roman" w:hAnsi="Times New Roman"/>
          <w:sz w:val="24"/>
          <w:szCs w:val="24"/>
          <w:shd w:fill="FFFFFF" w:val="clear"/>
          <w:lang w:val="et-EE" w:bidi="ar-SA"/>
        </w:rPr>
      </w:r>
    </w:p>
    <w:p>
      <w:pPr>
        <w:pStyle w:val="Normal"/>
        <w:widowControl w:val="false"/>
        <w:numPr>
          <w:ilvl w:val="0"/>
          <w:numId w:val="2"/>
        </w:numPr>
        <w:spacing w:before="0" w:after="170"/>
        <w:ind w:left="737" w:right="0" w:hanging="737"/>
        <w:jc w:val="both"/>
        <w:rPr>
          <w:rFonts w:ascii="Times New Roman" w:hAnsi="Times New Roman"/>
          <w:sz w:val="24"/>
          <w:szCs w:val="24"/>
        </w:rPr>
      </w:pPr>
      <w:bookmarkStart w:id="0" w:name="__DdeLink__4403_113651729"/>
      <w:r>
        <w:rPr>
          <w:rFonts w:eastAsia="Times New Roman" w:cs="Times New Roman" w:ascii="Times New Roman" w:hAnsi="Times New Roman"/>
          <w:b/>
          <w:bCs/>
          <w:color w:val="3465A4"/>
          <w:sz w:val="24"/>
          <w:szCs w:val="24"/>
          <w:shd w:fill="FFFFFF" w:val="clear"/>
        </w:rPr>
        <w:t>O</w:t>
      </w:r>
      <w:bookmarkEnd w:id="0"/>
      <w:r>
        <w:rPr>
          <w:rFonts w:eastAsia="Times New Roman" w:cs="Times New Roman" w:ascii="Times New Roman" w:hAnsi="Times New Roman"/>
          <w:b/>
          <w:bCs/>
          <w:color w:val="3465A4"/>
          <w:sz w:val="24"/>
          <w:szCs w:val="24"/>
          <w:shd w:fill="FFFFFF" w:val="clear"/>
        </w:rPr>
        <w:t>STUDOKUMENTIDE KOOSSEIS</w:t>
      </w:r>
    </w:p>
    <w:p>
      <w:pPr>
        <w:pStyle w:val="Normal"/>
        <w:widowControl w:val="false"/>
        <w:numPr>
          <w:ilvl w:val="1"/>
          <w:numId w:val="2"/>
        </w:numPr>
        <w:spacing w:lineRule="auto" w:line="360" w:before="0" w:after="0"/>
        <w:ind w:left="737" w:right="0" w:hanging="737"/>
        <w:jc w:val="both"/>
        <w:rPr>
          <w:rFonts w:ascii="Times New Roman" w:hAnsi="Times New Roman"/>
          <w:sz w:val="24"/>
          <w:szCs w:val="24"/>
        </w:rPr>
      </w:pPr>
      <w:r>
        <w:rPr>
          <w:rFonts w:ascii="Times New Roman" w:hAnsi="Times New Roman"/>
          <w:b w:val="false"/>
          <w:bCs w:val="false"/>
          <w:sz w:val="24"/>
          <w:szCs w:val="24"/>
        </w:rPr>
        <w:t>VORM I –  Pakkumuse esildis</w:t>
      </w:r>
    </w:p>
    <w:p>
      <w:pPr>
        <w:pStyle w:val="Normal"/>
        <w:widowControl w:val="false"/>
        <w:numPr>
          <w:ilvl w:val="1"/>
          <w:numId w:val="2"/>
        </w:numPr>
        <w:spacing w:lineRule="auto" w:line="360" w:before="0" w:after="0"/>
        <w:ind w:left="737" w:right="0" w:hanging="737"/>
        <w:jc w:val="both"/>
        <w:rPr>
          <w:rFonts w:ascii="Times New Roman" w:hAnsi="Times New Roman"/>
          <w:sz w:val="24"/>
          <w:szCs w:val="24"/>
        </w:rPr>
      </w:pPr>
      <w:r>
        <w:rPr>
          <w:rFonts w:ascii="Times New Roman" w:hAnsi="Times New Roman"/>
          <w:b w:val="false"/>
          <w:bCs w:val="false"/>
          <w:sz w:val="24"/>
          <w:szCs w:val="24"/>
        </w:rPr>
        <w:t>Töömahtude tabel</w:t>
      </w:r>
    </w:p>
    <w:p>
      <w:pPr>
        <w:pStyle w:val="Normal"/>
        <w:widowControl w:val="false"/>
        <w:numPr>
          <w:ilvl w:val="1"/>
          <w:numId w:val="2"/>
        </w:numPr>
        <w:spacing w:lineRule="auto" w:line="360" w:before="0" w:after="0"/>
        <w:ind w:left="737" w:right="0" w:hanging="737"/>
        <w:jc w:val="both"/>
        <w:rPr>
          <w:rFonts w:ascii="Times New Roman" w:hAnsi="Times New Roman"/>
          <w:sz w:val="24"/>
          <w:szCs w:val="24"/>
        </w:rPr>
      </w:pPr>
      <w:r>
        <w:rPr>
          <w:rFonts w:ascii="Times New Roman" w:hAnsi="Times New Roman"/>
          <w:b w:val="false"/>
          <w:bCs w:val="false"/>
          <w:sz w:val="24"/>
          <w:szCs w:val="24"/>
        </w:rPr>
        <w:t>Hoone korruse plaan 03_Lõuna tn 4 Risti_2 korrus.dwg</w:t>
      </w:r>
    </w:p>
    <w:p>
      <w:pPr>
        <w:pStyle w:val="Normal"/>
        <w:widowControl w:val="false"/>
        <w:numPr>
          <w:ilvl w:val="1"/>
          <w:numId w:val="2"/>
        </w:numPr>
        <w:spacing w:lineRule="auto" w:line="360" w:before="0" w:after="0"/>
        <w:ind w:left="737" w:right="0" w:hanging="737"/>
        <w:jc w:val="both"/>
        <w:rPr>
          <w:rFonts w:ascii="Times New Roman" w:hAnsi="Times New Roman"/>
          <w:sz w:val="24"/>
          <w:szCs w:val="24"/>
        </w:rPr>
      </w:pPr>
      <w:r>
        <w:rPr>
          <w:rFonts w:ascii="Times New Roman" w:hAnsi="Times New Roman"/>
          <w:b w:val="false"/>
          <w:bCs w:val="false"/>
          <w:sz w:val="24"/>
          <w:szCs w:val="24"/>
        </w:rPr>
        <w:t>Töömahtude joonis</w:t>
      </w:r>
    </w:p>
    <w:p>
      <w:pPr>
        <w:pStyle w:val="Normal"/>
        <w:widowControl w:val="false"/>
        <w:numPr>
          <w:ilvl w:val="1"/>
          <w:numId w:val="2"/>
        </w:numPr>
        <w:spacing w:lineRule="auto" w:line="360" w:before="0" w:after="0"/>
        <w:ind w:left="737" w:right="0" w:hanging="737"/>
        <w:jc w:val="both"/>
        <w:rPr>
          <w:rFonts w:ascii="Times New Roman" w:hAnsi="Times New Roman"/>
          <w:sz w:val="24"/>
          <w:szCs w:val="24"/>
        </w:rPr>
      </w:pPr>
      <w:r>
        <w:rPr>
          <w:rFonts w:ascii="Times New Roman" w:hAnsi="Times New Roman"/>
          <w:b w:val="false"/>
          <w:bCs w:val="false"/>
          <w:sz w:val="24"/>
          <w:szCs w:val="24"/>
        </w:rPr>
        <w:t>Töövõtulepingu kavand</w:t>
      </w:r>
    </w:p>
    <w:p>
      <w:pPr>
        <w:pStyle w:val="Normal"/>
        <w:widowControl w:val="false"/>
        <w:spacing w:lineRule="auto" w:line="360" w:before="0" w:after="0"/>
        <w:ind w:right="0" w:hanging="0"/>
        <w:jc w:val="both"/>
        <w:rPr>
          <w:rFonts w:ascii="Times New Roman" w:hAnsi="Times New Roman"/>
          <w:sz w:val="24"/>
          <w:szCs w:val="24"/>
        </w:rPr>
      </w:pPr>
      <w:r>
        <w:rPr/>
      </w:r>
    </w:p>
    <w:sectPr>
      <w:type w:val="nextPage"/>
      <w:pgSz w:w="11906" w:h="16838"/>
      <w:pgMar w:left="1200" w:right="849" w:gutter="0" w:header="0" w:top="1110" w:footer="0" w:bottom="713"/>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ba"/>
    <w:family w:val="roman"/>
    <w:pitch w:val="variable"/>
  </w:font>
  <w:font w:name="Calibri">
    <w:charset w:val="ba"/>
    <w:family w:val="roman"/>
    <w:pitch w:val="variable"/>
  </w:font>
  <w:font w:name="Arial">
    <w:charset w:val="ba"/>
    <w:family w:val="roman"/>
    <w:pitch w:val="variable"/>
  </w:font>
  <w:font w:name="Liberation Serif">
    <w:altName w:val="Times New Roman"/>
    <w:charset w:val="ba"/>
    <w:family w:val="swiss"/>
    <w:pitch w:val="variable"/>
  </w:font>
  <w:font w:name="Times New Roman">
    <w:charset w:val="ba"/>
    <w:family w:val="roman"/>
    <w:pitch w:val="variable"/>
  </w:font>
  <w:font w:name="Tahoma">
    <w:charset w:val="ba"/>
    <w:family w:val="roman"/>
    <w:pitch w:val="variable"/>
  </w:font>
  <w:font w:name="Liberation Sans">
    <w:altName w:val="Arial"/>
    <w:charset w:val="ba"/>
    <w:family w:val="roman"/>
    <w:pitch w:val="variable"/>
  </w:font>
  <w:font w:name="Cambria">
    <w:charset w:val="ba"/>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decimal"/>
      <w:lvlText w:val="%1."/>
      <w:lvlJc w:val="left"/>
      <w:pPr>
        <w:tabs>
          <w:tab w:val="num" w:pos="720"/>
        </w:tabs>
        <w:ind w:left="720" w:hanging="360"/>
      </w:pPr>
      <w:rPr>
        <w:sz w:val="24"/>
        <w:b/>
        <w:szCs w:val="24"/>
        <w:rFonts w:ascii="Times New Roman" w:hAnsi="Times New Roman"/>
        <w:color w:val="2A6099"/>
      </w:rPr>
    </w:lvl>
    <w:lvl w:ilvl="1">
      <w:start w:val="1"/>
      <w:numFmt w:val="decimal"/>
      <w:lvlText w:val="%1.%2."/>
      <w:lvlJc w:val="left"/>
      <w:pPr>
        <w:tabs>
          <w:tab w:val="num" w:pos="709"/>
        </w:tabs>
        <w:ind w:left="709" w:hanging="0"/>
      </w:pPr>
      <w:rPr>
        <w:sz w:val="24"/>
        <w:b w:val="false"/>
        <w:szCs w:val="24"/>
        <w:bCs w:val="false"/>
        <w:rFonts w:ascii="Times New Roman" w:hAnsi="Times New Roman"/>
      </w:rPr>
    </w:lvl>
    <w:lvl w:ilvl="2">
      <w:start w:val="1"/>
      <w:numFmt w:val="decimal"/>
      <w:lvlText w:val="%1.%2.%3."/>
      <w:lvlJc w:val="left"/>
      <w:pPr>
        <w:tabs>
          <w:tab w:val="num" w:pos="720"/>
        </w:tabs>
        <w:ind w:left="720" w:firstLine="360"/>
      </w:pPr>
      <w:rPr>
        <w:sz w:val="24"/>
        <w:szCs w:val="24"/>
        <w:rFonts w:ascii="Times New Roman" w:hAnsi="Times New Roman"/>
      </w:rPr>
    </w:lvl>
    <w:lvl w:ilvl="3">
      <w:start w:val="1"/>
      <w:numFmt w:val="lowerLetter"/>
      <w:lvlText w:val="%4)"/>
      <w:lvlJc w:val="left"/>
      <w:pPr>
        <w:tabs>
          <w:tab w:val="num" w:pos="1800"/>
        </w:tabs>
        <w:ind w:left="1800" w:hanging="360"/>
      </w:pPr>
      <w:rPr>
        <w:rFonts w:ascii="Times New Roman" w:hAnsi="Times New Roman"/>
      </w:rPr>
    </w:lvl>
    <w:lvl w:ilvl="4">
      <w:start w:val="1"/>
      <w:numFmt w:val="decimal"/>
      <w:lvlText w:val="%5."/>
      <w:lvlJc w:val="left"/>
      <w:pPr>
        <w:tabs>
          <w:tab w:val="num" w:pos="2160"/>
        </w:tabs>
        <w:ind w:left="2160" w:hanging="360"/>
      </w:pPr>
      <w:rPr>
        <w:sz w:val="24"/>
        <w:szCs w:val="24"/>
      </w:rPr>
    </w:lvl>
    <w:lvl w:ilvl="5">
      <w:start w:val="1"/>
      <w:numFmt w:val="decimal"/>
      <w:lvlText w:val="%6."/>
      <w:lvlJc w:val="left"/>
      <w:pPr>
        <w:tabs>
          <w:tab w:val="num" w:pos="2520"/>
        </w:tabs>
        <w:ind w:left="2520" w:hanging="360"/>
      </w:pPr>
      <w:rPr>
        <w:sz w:val="24"/>
        <w:szCs w:val="24"/>
      </w:rPr>
    </w:lvl>
    <w:lvl w:ilvl="6">
      <w:start w:val="1"/>
      <w:numFmt w:val="decimal"/>
      <w:lvlText w:val="%7."/>
      <w:lvlJc w:val="left"/>
      <w:pPr>
        <w:tabs>
          <w:tab w:val="num" w:pos="2880"/>
        </w:tabs>
        <w:ind w:left="2880" w:hanging="360"/>
      </w:pPr>
      <w:rPr>
        <w:sz w:val="24"/>
        <w:szCs w:val="24"/>
      </w:rPr>
    </w:lvl>
    <w:lvl w:ilvl="7">
      <w:start w:val="1"/>
      <w:numFmt w:val="decimal"/>
      <w:lvlText w:val="%8."/>
      <w:lvlJc w:val="left"/>
      <w:pPr>
        <w:tabs>
          <w:tab w:val="num" w:pos="3240"/>
        </w:tabs>
        <w:ind w:left="3240" w:hanging="360"/>
      </w:pPr>
      <w:rPr>
        <w:sz w:val="24"/>
        <w:szCs w:val="24"/>
      </w:rPr>
    </w:lvl>
    <w:lvl w:ilvl="8">
      <w:start w:val="1"/>
      <w:numFmt w:val="decimal"/>
      <w:lvlText w:val="%9."/>
      <w:lvlJc w:val="left"/>
      <w:pPr>
        <w:tabs>
          <w:tab w:val="num" w:pos="3600"/>
        </w:tabs>
        <w:ind w:left="3600" w:hanging="360"/>
      </w:pPr>
      <w:rPr>
        <w:sz w:val="24"/>
        <w:szCs w:val="24"/>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imes New Roman"/>
        <w:lang w:val="et-EE" w:eastAsia="et-EE" w:bidi="ar-SA"/>
      </w:rPr>
    </w:rPrDefault>
    <w:pPrDefault>
      <w:pPr>
        <w:suppressAutoHyphens w:val="true"/>
      </w:pPr>
    </w:pPrDefault>
  </w:docDefaults>
  <w:style w:type="paragraph" w:styleId="Normal">
    <w:name w:val="Normal"/>
    <w:qFormat/>
    <w:pPr>
      <w:widowControl/>
      <w:suppressAutoHyphens w:val="true"/>
      <w:overflowPunct w:val="true"/>
      <w:bidi w:val="0"/>
      <w:spacing w:lineRule="auto" w:line="276" w:before="0" w:after="200"/>
      <w:jc w:val="left"/>
    </w:pPr>
    <w:rPr>
      <w:rFonts w:ascii="Arial" w:hAnsi="Arial" w:eastAsia="Calibri" w:cs="Times New Roman"/>
      <w:color w:val="00000A"/>
      <w:kern w:val="0"/>
      <w:sz w:val="22"/>
      <w:szCs w:val="22"/>
      <w:lang w:val="et-EE" w:eastAsia="en-US" w:bidi="ar-SA"/>
    </w:rPr>
  </w:style>
  <w:style w:type="paragraph" w:styleId="Pealkiri1">
    <w:name w:val="Heading 1"/>
    <w:basedOn w:val="Pealkiri"/>
    <w:next w:val="Phitekst"/>
    <w:qFormat/>
    <w:pPr>
      <w:numPr>
        <w:ilvl w:val="0"/>
        <w:numId w:val="0"/>
      </w:numPr>
      <w:spacing w:before="240" w:after="120"/>
      <w:outlineLvl w:val="0"/>
    </w:pPr>
    <w:rPr>
      <w:rFonts w:ascii="Liberation Serif" w:hAnsi="Liberation Serif" w:eastAsia="Segoe UI" w:cs="Tahoma"/>
      <w:b/>
      <w:bCs/>
      <w:sz w:val="48"/>
      <w:szCs w:val="48"/>
    </w:rPr>
  </w:style>
  <w:style w:type="paragraph" w:styleId="Pealkiri3">
    <w:name w:val="Heading 3"/>
    <w:basedOn w:val="Pealkiri"/>
    <w:next w:val="Phitekst"/>
    <w:qFormat/>
    <w:pPr>
      <w:numPr>
        <w:ilvl w:val="0"/>
        <w:numId w:val="0"/>
      </w:numPr>
      <w:spacing w:before="140" w:after="120"/>
      <w:outlineLvl w:val="2"/>
    </w:pPr>
    <w:rPr>
      <w:rFonts w:ascii="Liberation Serif" w:hAnsi="Liberation Serif" w:eastAsia="Segoe UI" w:cs="Tahoma"/>
      <w:b/>
      <w:bCs/>
      <w:sz w:val="28"/>
      <w:szCs w:val="28"/>
    </w:rPr>
  </w:style>
  <w:style w:type="paragraph" w:styleId="Pealkiri8">
    <w:name w:val="Heading 8"/>
    <w:basedOn w:val="Pealkiri"/>
    <w:next w:val="Phitekst"/>
    <w:qFormat/>
    <w:pPr>
      <w:numPr>
        <w:ilvl w:val="7"/>
        <w:numId w:val="1"/>
      </w:numPr>
      <w:spacing w:before="60" w:after="60"/>
      <w:outlineLvl w:val="7"/>
    </w:pPr>
    <w:rPr>
      <w:b/>
      <w:bCs/>
      <w:i/>
      <w:iCs/>
      <w:sz w:val="22"/>
      <w:szCs w:val="22"/>
    </w:rPr>
  </w:style>
  <w:style w:type="paragraph" w:styleId="Pealkiri9">
    <w:name w:val="Heading 9"/>
    <w:basedOn w:val="Pealkiri"/>
    <w:next w:val="Phitekst"/>
    <w:qFormat/>
    <w:pPr>
      <w:numPr>
        <w:ilvl w:val="8"/>
        <w:numId w:val="1"/>
      </w:numPr>
      <w:spacing w:before="60" w:after="60"/>
      <w:outlineLvl w:val="8"/>
    </w:pPr>
    <w:rPr>
      <w:b/>
      <w:bCs/>
      <w:sz w:val="21"/>
      <w:szCs w:val="21"/>
    </w:rPr>
  </w:style>
  <w:style w:type="character" w:styleId="DefaultParagraphFont">
    <w:name w:val="Default Paragraph Font"/>
    <w:qFormat/>
    <w:rPr/>
  </w:style>
  <w:style w:type="character" w:styleId="PisMrk">
    <w:name w:val="Päis Märk"/>
    <w:basedOn w:val="DefaultParagraphFont"/>
    <w:qFormat/>
    <w:rPr>
      <w:rFonts w:ascii="Times New Roman" w:hAnsi="Times New Roman" w:eastAsia="Times New Roman"/>
      <w:sz w:val="24"/>
      <w:szCs w:val="24"/>
    </w:rPr>
  </w:style>
  <w:style w:type="character" w:styleId="JalusMrk">
    <w:name w:val="Jalus Märk"/>
    <w:basedOn w:val="DefaultParagraphFont"/>
    <w:qFormat/>
    <w:rPr>
      <w:rFonts w:ascii="Times New Roman" w:hAnsi="Times New Roman" w:eastAsia="Times New Roman"/>
      <w:sz w:val="24"/>
      <w:szCs w:val="24"/>
    </w:rPr>
  </w:style>
  <w:style w:type="character" w:styleId="JutumullitekstMrk">
    <w:name w:val="Jutumullitekst Märk"/>
    <w:basedOn w:val="DefaultParagraphFont"/>
    <w:qFormat/>
    <w:rPr>
      <w:rFonts w:ascii="Tahoma" w:hAnsi="Tahoma" w:eastAsia="Times New Roman" w:cs="Tahoma"/>
      <w:sz w:val="16"/>
      <w:szCs w:val="16"/>
    </w:rPr>
  </w:style>
  <w:style w:type="character" w:styleId="KehatekstMrk">
    <w:name w:val="Kehatekst Märk"/>
    <w:basedOn w:val="DefaultParagraphFont"/>
    <w:qFormat/>
    <w:rPr>
      <w:rFonts w:ascii="Times New Roman" w:hAnsi="Times New Roman" w:eastAsia="Lucida Sans Unicode"/>
      <w:sz w:val="24"/>
      <w:szCs w:val="24"/>
    </w:rPr>
  </w:style>
  <w:style w:type="character" w:styleId="Internetilink">
    <w:name w:val="Hyperlink"/>
    <w:basedOn w:val="DefaultParagraphFont"/>
    <w:rPr>
      <w:color w:val="403152"/>
      <w:sz w:val="22"/>
      <w:u w:val="single"/>
    </w:rPr>
  </w:style>
  <w:style w:type="character" w:styleId="Annotationreference">
    <w:name w:val="annotation reference"/>
    <w:basedOn w:val="DefaultParagraphFont"/>
    <w:qFormat/>
    <w:rPr>
      <w:sz w:val="16"/>
      <w:szCs w:val="16"/>
    </w:rPr>
  </w:style>
  <w:style w:type="character" w:styleId="KommentaaritekstMrk">
    <w:name w:val="Kommentaari tekst Märk"/>
    <w:basedOn w:val="DefaultParagraphFont"/>
    <w:qFormat/>
    <w:rPr>
      <w:rFonts w:ascii="Arial" w:hAnsi="Arial" w:eastAsia="Calibri" w:cs="Times New Roman"/>
      <w:color w:val="00000A"/>
      <w:lang w:eastAsia="en-US"/>
    </w:rPr>
  </w:style>
  <w:style w:type="character" w:styleId="KommentaariteemaMrk">
    <w:name w:val="Kommentaari teema Märk"/>
    <w:basedOn w:val="KommentaaritekstMrk"/>
    <w:qFormat/>
    <w:rPr>
      <w:rFonts w:ascii="Arial" w:hAnsi="Arial" w:eastAsia="Calibri" w:cs="Times New Roman"/>
      <w:b/>
      <w:bCs/>
      <w:color w:val="00000A"/>
      <w:lang w:eastAsia="en-US"/>
    </w:rPr>
  </w:style>
  <w:style w:type="character" w:styleId="Allmrkuseankur">
    <w:name w:val="Footnote Reference"/>
    <w:rPr>
      <w:vertAlign w:val="superscript"/>
    </w:rPr>
  </w:style>
  <w:style w:type="character" w:styleId="FootnoteCharacters">
    <w:name w:val="Footnote Characters"/>
    <w:qFormat/>
    <w:rPr>
      <w:vertAlign w:val="superscript"/>
    </w:rPr>
  </w:style>
  <w:style w:type="character" w:styleId="Allmrkusetekst">
    <w:name w:val="Allmärkuse tekst"/>
    <w:qFormat/>
    <w:rPr/>
  </w:style>
  <w:style w:type="character" w:styleId="Lpumrkuseankur">
    <w:name w:val="Endnote Reference"/>
    <w:rPr>
      <w:vertAlign w:val="superscript"/>
    </w:rPr>
  </w:style>
  <w:style w:type="character" w:styleId="EndnoteCharacters">
    <w:name w:val="Endnote Characters"/>
    <w:qFormat/>
    <w:rPr>
      <w:vertAlign w:val="superscript"/>
    </w:rPr>
  </w:style>
  <w:style w:type="character" w:styleId="Lpumrkusetekst">
    <w:name w:val="Lõpumärkuse tekst"/>
    <w:qFormat/>
    <w:rPr/>
  </w:style>
  <w:style w:type="character" w:styleId="Klastatudinternetilink">
    <w:name w:val="FollowedHyperlink"/>
    <w:rPr>
      <w:color w:val="800000"/>
      <w:u w:val="single"/>
      <w:lang w:val="zxx" w:eastAsia="zxx" w:bidi="zxx"/>
    </w:rPr>
  </w:style>
  <w:style w:type="character" w:styleId="Nummerdussmbolid">
    <w:name w:val="Nummerdussümbolid"/>
    <w:qFormat/>
    <w:rPr>
      <w:rFonts w:ascii="Times New Roman" w:hAnsi="Times New Roman"/>
    </w:rPr>
  </w:style>
  <w:style w:type="character" w:styleId="Reanummerdus">
    <w:name w:val="Line Number"/>
    <w:rPr/>
  </w:style>
  <w:style w:type="paragraph" w:styleId="Pealkiri">
    <w:name w:val="Pealkiri"/>
    <w:basedOn w:val="Normal"/>
    <w:next w:val="Phitekst"/>
    <w:qFormat/>
    <w:pPr>
      <w:keepNext w:val="true"/>
      <w:spacing w:before="240" w:after="120"/>
    </w:pPr>
    <w:rPr>
      <w:rFonts w:ascii="Liberation Sans" w:hAnsi="Liberation Sans" w:eastAsia="Microsoft YaHei" w:cs="Arial"/>
      <w:sz w:val="28"/>
      <w:szCs w:val="28"/>
    </w:rPr>
  </w:style>
  <w:style w:type="paragraph" w:styleId="Phitekst">
    <w:name w:val="Body Text"/>
    <w:basedOn w:val="Normal"/>
    <w:link w:val="KehatekstMrk"/>
    <w:pPr>
      <w:widowControl w:val="false"/>
      <w:suppressAutoHyphens w:val="true"/>
      <w:spacing w:lineRule="auto" w:line="240" w:before="0" w:after="120"/>
    </w:pPr>
    <w:rPr>
      <w:rFonts w:ascii="Times New Roman" w:hAnsi="Times New Roman" w:eastAsia="Lucida Sans Unicode" w:cs="Times New Roman"/>
      <w:sz w:val="24"/>
      <w:szCs w:val="24"/>
    </w:rPr>
  </w:style>
  <w:style w:type="paragraph" w:styleId="Loend">
    <w:name w:val="List"/>
    <w:basedOn w:val="Phitekst"/>
    <w:pPr/>
    <w:rPr>
      <w:rFonts w:cs="Arial"/>
    </w:rPr>
  </w:style>
  <w:style w:type="paragraph" w:styleId="Pealdis">
    <w:name w:val="Caption"/>
    <w:basedOn w:val="Normal"/>
    <w:qFormat/>
    <w:pPr>
      <w:suppressLineNumbers/>
      <w:spacing w:before="120" w:after="120"/>
    </w:pPr>
    <w:rPr>
      <w:rFonts w:cs="Arial"/>
      <w:i/>
      <w:iCs/>
      <w:sz w:val="24"/>
      <w:szCs w:val="24"/>
    </w:rPr>
  </w:style>
  <w:style w:type="paragraph" w:styleId="Register">
    <w:name w:val="Register"/>
    <w:basedOn w:val="Normal"/>
    <w:qFormat/>
    <w:pPr>
      <w:suppressLineNumbers/>
    </w:pPr>
    <w:rPr>
      <w:rFonts w:ascii="Times New Roman" w:hAnsi="Times New Roman" w:cs="Arial"/>
    </w:rPr>
  </w:style>
  <w:style w:type="paragraph" w:styleId="Tiitel">
    <w:name w:val="Title"/>
    <w:basedOn w:val="Normal"/>
    <w:next w:val="Phitekst"/>
    <w:qFormat/>
    <w:pPr>
      <w:keepNext w:val="true"/>
      <w:spacing w:before="240" w:after="120"/>
    </w:pPr>
    <w:rPr>
      <w:rFonts w:ascii="Liberation Sans" w:hAnsi="Liberation Sans" w:eastAsia="Microsoft YaHei" w:cs="Arial"/>
      <w:sz w:val="24"/>
      <w:szCs w:val="28"/>
    </w:rPr>
  </w:style>
  <w:style w:type="paragraph" w:styleId="Caption">
    <w:name w:val="caption"/>
    <w:basedOn w:val="Normal"/>
    <w:qFormat/>
    <w:pPr>
      <w:suppressLineNumbers/>
      <w:spacing w:before="120" w:after="120"/>
    </w:pPr>
    <w:rPr>
      <w:rFonts w:ascii="Times New Roman" w:hAnsi="Times New Roman" w:cs="Arial"/>
      <w:i/>
      <w:iCs/>
      <w:sz w:val="24"/>
      <w:szCs w:val="24"/>
    </w:rPr>
  </w:style>
  <w:style w:type="paragraph" w:styleId="Pisjajalus">
    <w:name w:val="Päis ja jalus"/>
    <w:basedOn w:val="Normal"/>
    <w:qFormat/>
    <w:pPr/>
    <w:rPr/>
  </w:style>
  <w:style w:type="paragraph" w:styleId="Pis">
    <w:name w:val="Header"/>
    <w:basedOn w:val="Normal"/>
    <w:link w:val="PisMrk"/>
    <w:pPr>
      <w:tabs>
        <w:tab w:val="clear" w:pos="720"/>
        <w:tab w:val="center" w:pos="4536" w:leader="none"/>
        <w:tab w:val="right" w:pos="9072" w:leader="none"/>
      </w:tabs>
      <w:spacing w:lineRule="auto" w:line="240" w:before="0" w:after="0"/>
    </w:pPr>
    <w:rPr>
      <w:rFonts w:ascii="Times New Roman" w:hAnsi="Times New Roman" w:eastAsia="Times New Roman" w:cs="Times New Roman"/>
      <w:sz w:val="24"/>
      <w:szCs w:val="24"/>
      <w:lang w:eastAsia="et-EE"/>
    </w:rPr>
  </w:style>
  <w:style w:type="paragraph" w:styleId="Jalus">
    <w:name w:val="Footer"/>
    <w:basedOn w:val="Normal"/>
    <w:link w:val="JalusMrk"/>
    <w:pPr>
      <w:tabs>
        <w:tab w:val="clear" w:pos="720"/>
        <w:tab w:val="center" w:pos="4536" w:leader="none"/>
        <w:tab w:val="right" w:pos="9072" w:leader="none"/>
      </w:tabs>
      <w:spacing w:lineRule="auto" w:line="240" w:before="0" w:after="0"/>
    </w:pPr>
    <w:rPr>
      <w:rFonts w:ascii="Times New Roman" w:hAnsi="Times New Roman" w:eastAsia="Times New Roman" w:cs="Times New Roman"/>
      <w:sz w:val="24"/>
      <w:szCs w:val="24"/>
      <w:lang w:eastAsia="et-EE"/>
    </w:rPr>
  </w:style>
  <w:style w:type="paragraph" w:styleId="BalloonText">
    <w:name w:val="Balloon Text"/>
    <w:basedOn w:val="Normal"/>
    <w:link w:val="JutumullitekstMrk"/>
    <w:qFormat/>
    <w:pPr/>
    <w:rPr>
      <w:rFonts w:ascii="Tahoma" w:hAnsi="Tahoma" w:cs="Tahoma"/>
      <w:sz w:val="16"/>
      <w:szCs w:val="16"/>
    </w:rPr>
  </w:style>
  <w:style w:type="paragraph" w:styleId="ListParagraph">
    <w:name w:val="List Paragraph"/>
    <w:basedOn w:val="Normal"/>
    <w:qFormat/>
    <w:pPr>
      <w:spacing w:before="0" w:after="200"/>
      <w:ind w:left="720" w:right="0" w:hanging="0"/>
      <w:contextualSpacing/>
    </w:pPr>
    <w:rPr/>
  </w:style>
  <w:style w:type="paragraph" w:styleId="Paneelisisu">
    <w:name w:val="Paneeli sisu"/>
    <w:basedOn w:val="Normal"/>
    <w:qFormat/>
    <w:pPr/>
    <w:rPr/>
  </w:style>
  <w:style w:type="paragraph" w:styleId="Default">
    <w:name w:val="Default"/>
    <w:qFormat/>
    <w:pPr>
      <w:widowControl w:val="false"/>
      <w:suppressAutoHyphens w:val="true"/>
      <w:overflowPunct w:val="true"/>
      <w:bidi w:val="0"/>
      <w:spacing w:before="0" w:after="0"/>
      <w:jc w:val="left"/>
    </w:pPr>
    <w:rPr>
      <w:rFonts w:ascii="Cambria" w:hAnsi="Cambria" w:eastAsia="SimSun" w:cs="Mangal"/>
      <w:color w:val="000000"/>
      <w:kern w:val="0"/>
      <w:sz w:val="24"/>
      <w:szCs w:val="24"/>
      <w:lang w:val="et-EE" w:eastAsia="zh-CN" w:bidi="hi-IN"/>
    </w:rPr>
  </w:style>
  <w:style w:type="paragraph" w:styleId="Tabelisisu">
    <w:name w:val="Tabeli sisu"/>
    <w:basedOn w:val="Phitekst"/>
    <w:qFormat/>
    <w:pPr/>
    <w:rPr/>
  </w:style>
  <w:style w:type="paragraph" w:styleId="Annotationtext">
    <w:name w:val="annotation text"/>
    <w:basedOn w:val="Normal"/>
    <w:link w:val="KommentaaritekstMrk"/>
    <w:qFormat/>
    <w:pPr>
      <w:spacing w:lineRule="auto" w:line="240"/>
    </w:pPr>
    <w:rPr>
      <w:sz w:val="20"/>
      <w:szCs w:val="20"/>
    </w:rPr>
  </w:style>
  <w:style w:type="paragraph" w:styleId="Annotationsubject">
    <w:name w:val="annotation subject"/>
    <w:basedOn w:val="Annotationtext"/>
    <w:next w:val="Annotationtext"/>
    <w:link w:val="KommentaariteemaMrk"/>
    <w:qFormat/>
    <w:pPr/>
    <w:rPr>
      <w:b/>
      <w:bCs/>
    </w:rPr>
  </w:style>
  <w:style w:type="paragraph" w:styleId="Pealkiri10">
    <w:name w:val="Pealkiri 10"/>
    <w:basedOn w:val="Pealkiri"/>
    <w:next w:val="Phitekst"/>
    <w:qFormat/>
    <w:pPr>
      <w:numPr>
        <w:ilvl w:val="0"/>
        <w:numId w:val="0"/>
      </w:numPr>
      <w:spacing w:before="60" w:after="60"/>
      <w:outlineLvl w:val="8"/>
    </w:pPr>
    <w:rPr>
      <w:b/>
      <w:bCs/>
      <w:sz w:val="21"/>
      <w:szCs w:val="21"/>
    </w:rPr>
  </w:style>
  <w:style w:type="paragraph" w:styleId="Allmrkus">
    <w:name w:val="Footnote Text"/>
    <w:basedOn w:val="Normal"/>
    <w:pPr>
      <w:suppressLineNumbers/>
      <w:ind w:left="339" w:right="0" w:hanging="339"/>
    </w:pPr>
    <w:rPr>
      <w:sz w:val="20"/>
      <w:szCs w:val="20"/>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laanenigula.ee/578" TargetMode="External"/><Relationship Id="rId3" Type="http://schemas.openxmlformats.org/officeDocument/2006/relationships/hyperlink" Target="mailto:risti@laanenigula.ee" TargetMode="External"/><Relationship Id="rId4" Type="http://schemas.openxmlformats.org/officeDocument/2006/relationships/hyperlink" Target="mailto:rein.kruusmaa@laanenigula.ee" TargetMode="Externa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Normal.dotm</Template>
  <TotalTime>3253</TotalTime>
  <Application>LibreOffice/7.4.2.3$Windows_X86_64 LibreOffice_project/382eef1f22670f7f4118c8c2dd222ec7ad009daf</Application>
  <AppVersion>15.0000</AppVersion>
  <Pages>6</Pages>
  <Words>1360</Words>
  <Characters>10014</Characters>
  <CharactersWithSpaces>11163</CharactersWithSpaces>
  <Paragraphs>132</Paragraphs>
  <Company>Microsoft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2021-01-15T13:30:00Z</dcterms:created>
  <dc:creator>Heleene Sarapuu</dc:creator>
  <dc:description/>
  <dc:language>et-EE</dc:language>
  <cp:lastModifiedBy>Rein Kruusmaa</cp:lastModifiedBy>
  <dcterms:modified xsi:type="dcterms:W3CDTF">2024-05-16T13:26:12Z</dcterms:modified>
  <cp:revision>37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y fmtid="{D5CDD505-2E9C-101B-9397-08002B2CF9AE}" pid="6" name="delta_accessRestrictionBeginDate">
    <vt:lpwstr>AK kehtivuse algus</vt:lpwstr>
  </property>
  <property fmtid="{D5CDD505-2E9C-101B-9397-08002B2CF9AE}" pid="7" name="delta_accessRestrictionEndDate">
    <vt:lpwstr>AK kehtivuse lõpp</vt:lpwstr>
  </property>
  <property fmtid="{D5CDD505-2E9C-101B-9397-08002B2CF9AE}" pid="8" name="delta_docName">
    <vt:lpwstr>pealkiri</vt:lpwstr>
  </property>
  <property fmtid="{D5CDD505-2E9C-101B-9397-08002B2CF9AE}" pid="9" name="delta_regDateTime">
    <vt:lpwstr>kuupäev</vt:lpwstr>
  </property>
  <property fmtid="{D5CDD505-2E9C-101B-9397-08002B2CF9AE}" pid="10" name="delta_regNumber">
    <vt:lpwstr>viit</vt:lpwstr>
  </property>
  <property fmtid="{D5CDD505-2E9C-101B-9397-08002B2CF9AE}" pid="11" name="delta_signerJobTitle">
    <vt:lpwstr>allkirjastaja ametinimetus</vt:lpwstr>
  </property>
  <property fmtid="{D5CDD505-2E9C-101B-9397-08002B2CF9AE}" pid="12" name="delta_signerJobTitleOther">
    <vt:lpwstr>allkirjastaja2 ametinimetus</vt:lpwstr>
  </property>
  <property fmtid="{D5CDD505-2E9C-101B-9397-08002B2CF9AE}" pid="13" name="delta_signerName">
    <vt:lpwstr>allkirjastaja</vt:lpwstr>
  </property>
  <property fmtid="{D5CDD505-2E9C-101B-9397-08002B2CF9AE}" pid="14" name="delta_signerNameOther">
    <vt:lpwstr>allkirjastaja2</vt:lpwstr>
  </property>
</Properties>
</file>